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10" w:rsidRPr="005B7B76" w:rsidRDefault="00A07286" w:rsidP="0048584F">
      <w:pPr>
        <w:pStyle w:val="Titre"/>
        <w:jc w:val="center"/>
      </w:pPr>
      <w:bookmarkStart w:id="0" w:name="_GoBack"/>
      <w:bookmarkEnd w:id="0"/>
      <w:r w:rsidRPr="005B7B76">
        <w:t>Motion de</w:t>
      </w:r>
      <w:r w:rsidR="00290E06" w:rsidRPr="005B7B76">
        <w:t xml:space="preserve"> </w:t>
      </w:r>
      <w:r w:rsidR="00611610" w:rsidRPr="005B7B76">
        <w:t>la commune de … ou l’intercommunalité de …</w:t>
      </w:r>
    </w:p>
    <w:p w:rsidR="00290E06" w:rsidRPr="005B7B76" w:rsidRDefault="00290E06" w:rsidP="00611610">
      <w:pPr>
        <w:spacing w:after="0"/>
        <w:jc w:val="center"/>
        <w:rPr>
          <w:rFonts w:ascii="Arial" w:hAnsi="Arial" w:cs="Arial"/>
          <w:color w:val="002060"/>
          <w:sz w:val="24"/>
          <w:szCs w:val="24"/>
        </w:rPr>
      </w:pPr>
    </w:p>
    <w:p w:rsidR="005B7B76" w:rsidRDefault="00F070FB" w:rsidP="00F070FB">
      <w:pPr>
        <w:spacing w:after="0" w:line="240" w:lineRule="auto"/>
        <w:jc w:val="center"/>
        <w:rPr>
          <w:rFonts w:ascii="Arial" w:hAnsi="Arial" w:cs="Arial"/>
          <w:color w:val="002060"/>
          <w:sz w:val="24"/>
          <w:szCs w:val="24"/>
        </w:rPr>
      </w:pPr>
      <w:r>
        <w:rPr>
          <w:rFonts w:ascii="Arial" w:hAnsi="Arial" w:cs="Arial"/>
          <w:color w:val="002060"/>
          <w:sz w:val="24"/>
          <w:szCs w:val="24"/>
        </w:rPr>
        <w:t>________________________</w:t>
      </w:r>
    </w:p>
    <w:p w:rsidR="002575C6" w:rsidRPr="00F070FB" w:rsidRDefault="00290E06" w:rsidP="002575C6">
      <w:pPr>
        <w:pStyle w:val="Titre1"/>
        <w:jc w:val="center"/>
        <w:rPr>
          <w:rFonts w:eastAsia="Calibri"/>
          <w:b/>
        </w:rPr>
      </w:pPr>
      <w:r w:rsidRPr="00F070FB">
        <w:rPr>
          <w:rFonts w:eastAsia="Calibri"/>
          <w:b/>
        </w:rPr>
        <w:t xml:space="preserve">Le </w:t>
      </w:r>
      <w:r w:rsidR="006E1984" w:rsidRPr="00F070FB">
        <w:rPr>
          <w:rFonts w:eastAsia="Calibri"/>
          <w:b/>
        </w:rPr>
        <w:t>Conseil municipal de la commune /</w:t>
      </w:r>
      <w:r w:rsidR="00F668AE" w:rsidRPr="00F070FB">
        <w:rPr>
          <w:rFonts w:eastAsia="Calibri"/>
          <w:b/>
        </w:rPr>
        <w:t xml:space="preserve"> le Conseil communautaire</w:t>
      </w:r>
      <w:r w:rsidR="006E1984" w:rsidRPr="00F070FB">
        <w:rPr>
          <w:rFonts w:eastAsia="Calibri"/>
          <w:b/>
        </w:rPr>
        <w:t xml:space="preserve"> </w:t>
      </w:r>
      <w:r w:rsidRPr="00F070FB">
        <w:rPr>
          <w:rFonts w:eastAsia="Calibri"/>
          <w:b/>
        </w:rPr>
        <w:t>de</w:t>
      </w:r>
      <w:r w:rsidR="00481658" w:rsidRPr="00F070FB">
        <w:rPr>
          <w:rFonts w:eastAsia="Calibri"/>
          <w:b/>
        </w:rPr>
        <w:t xml:space="preserve"> …</w:t>
      </w:r>
      <w:r w:rsidRPr="00F070FB">
        <w:rPr>
          <w:rFonts w:eastAsia="Calibri"/>
          <w:b/>
        </w:rPr>
        <w:t>, réuni le ……,</w:t>
      </w:r>
    </w:p>
    <w:p w:rsidR="00290E06" w:rsidRPr="0048584F" w:rsidRDefault="008D297C" w:rsidP="0048584F">
      <w:pPr>
        <w:pStyle w:val="Titre1"/>
        <w:jc w:val="both"/>
        <w:rPr>
          <w:rFonts w:eastAsia="Calibri"/>
          <w:b/>
        </w:rPr>
      </w:pPr>
      <w:r w:rsidRPr="0048584F">
        <w:rPr>
          <w:rFonts w:eastAsia="Calibri"/>
          <w:b/>
        </w:rPr>
        <w:t>Exprime</w:t>
      </w:r>
      <w:r w:rsidR="00290E06" w:rsidRPr="0048584F">
        <w:rPr>
          <w:rFonts w:eastAsia="Calibri"/>
          <w:b/>
        </w:rPr>
        <w:t xml:space="preserve"> sa profonde préoccupation concernant les conséquences de la crise</w:t>
      </w:r>
      <w:r w:rsidR="00481658" w:rsidRPr="0048584F">
        <w:rPr>
          <w:rFonts w:eastAsia="Calibri"/>
          <w:b/>
        </w:rPr>
        <w:t xml:space="preserve"> économique et financière s</w:t>
      </w:r>
      <w:r w:rsidR="005E7F71" w:rsidRPr="0048584F">
        <w:rPr>
          <w:rFonts w:eastAsia="Calibri"/>
          <w:b/>
        </w:rPr>
        <w:t xml:space="preserve">ur les comptes de la commune, sur sa capacité à </w:t>
      </w:r>
      <w:r w:rsidR="00481658" w:rsidRPr="0048584F">
        <w:rPr>
          <w:rFonts w:eastAsia="Calibri"/>
          <w:b/>
        </w:rPr>
        <w:t xml:space="preserve">investir et </w:t>
      </w:r>
      <w:r w:rsidR="005E7F71" w:rsidRPr="0048584F">
        <w:rPr>
          <w:rFonts w:eastAsia="Calibri"/>
          <w:b/>
        </w:rPr>
        <w:t xml:space="preserve">sur le maintien d’une </w:t>
      </w:r>
      <w:r w:rsidR="00481658" w:rsidRPr="0048584F">
        <w:rPr>
          <w:rFonts w:eastAsia="Calibri"/>
          <w:b/>
        </w:rPr>
        <w:t xml:space="preserve">offre de services </w:t>
      </w:r>
      <w:r w:rsidR="005E7F71" w:rsidRPr="0048584F">
        <w:rPr>
          <w:rFonts w:eastAsia="Calibri"/>
          <w:b/>
        </w:rPr>
        <w:t>de proximité adaptée aux besoins de la population.</w:t>
      </w:r>
    </w:p>
    <w:p w:rsidR="005E7F71" w:rsidRPr="005B7B76" w:rsidRDefault="005E7F71" w:rsidP="00A07286">
      <w:pPr>
        <w:pStyle w:val="Titre1"/>
        <w:rPr>
          <w:rFonts w:eastAsia="Calibri"/>
        </w:rPr>
      </w:pPr>
    </w:p>
    <w:p w:rsidR="00F070FB" w:rsidRDefault="0048584F" w:rsidP="00DF2034">
      <w:pPr>
        <w:spacing w:after="0" w:line="240" w:lineRule="auto"/>
        <w:jc w:val="both"/>
        <w:rPr>
          <w:rFonts w:ascii="Arial" w:eastAsia="Calibri" w:hAnsi="Arial" w:cs="Arial"/>
          <w:sz w:val="24"/>
          <w:szCs w:val="24"/>
        </w:rPr>
      </w:pPr>
      <w:r w:rsidRPr="007D5DF7">
        <w:rPr>
          <w:rFonts w:ascii="Arial" w:eastAsia="Calibri" w:hAnsi="Arial" w:cs="Arial"/>
          <w:b/>
          <w:sz w:val="24"/>
          <w:szCs w:val="24"/>
        </w:rPr>
        <w:t>Nos communes et intercommunalités doivent faire face à une situation sans précédent</w:t>
      </w:r>
      <w:r w:rsidRPr="007D5DF7">
        <w:rPr>
          <w:rFonts w:ascii="Arial" w:eastAsia="Calibri" w:hAnsi="Arial" w:cs="Arial"/>
          <w:sz w:val="24"/>
          <w:szCs w:val="24"/>
        </w:rPr>
        <w:t> :</w:t>
      </w:r>
    </w:p>
    <w:p w:rsidR="00F070FB" w:rsidRDefault="00F070FB" w:rsidP="00DF2034">
      <w:pPr>
        <w:spacing w:after="0" w:line="240" w:lineRule="auto"/>
        <w:jc w:val="both"/>
        <w:rPr>
          <w:rFonts w:ascii="Arial" w:eastAsia="Calibri" w:hAnsi="Arial" w:cs="Arial"/>
          <w:sz w:val="24"/>
          <w:szCs w:val="24"/>
        </w:rPr>
      </w:pPr>
    </w:p>
    <w:p w:rsidR="0048584F" w:rsidRPr="007D5DF7" w:rsidRDefault="008D297C" w:rsidP="00DF2034">
      <w:pPr>
        <w:spacing w:after="0" w:line="240" w:lineRule="auto"/>
        <w:jc w:val="both"/>
        <w:rPr>
          <w:rFonts w:ascii="Arial" w:eastAsia="Calibri" w:hAnsi="Arial" w:cs="Arial"/>
          <w:sz w:val="24"/>
          <w:szCs w:val="24"/>
        </w:rPr>
      </w:pPr>
      <w:r w:rsidRPr="007D5DF7">
        <w:rPr>
          <w:rFonts w:ascii="Arial" w:eastAsia="Calibri" w:hAnsi="Arial" w:cs="Arial"/>
          <w:sz w:val="24"/>
          <w:szCs w:val="24"/>
        </w:rPr>
        <w:t>Estimée</w:t>
      </w:r>
      <w:r w:rsidR="0048584F" w:rsidRPr="007D5DF7">
        <w:rPr>
          <w:rFonts w:ascii="Arial" w:eastAsia="Calibri" w:hAnsi="Arial" w:cs="Arial"/>
          <w:sz w:val="24"/>
          <w:szCs w:val="24"/>
        </w:rPr>
        <w:t xml:space="preserve"> pour 2022 et 2023 à environ 5</w:t>
      </w:r>
      <w:r w:rsidR="0048584F" w:rsidRPr="007D5DF7">
        <w:rPr>
          <w:rFonts w:ascii="Arial" w:eastAsia="Calibri" w:hAnsi="Arial" w:cs="Arial"/>
          <w:b/>
          <w:sz w:val="24"/>
          <w:szCs w:val="24"/>
        </w:rPr>
        <w:t>,</w:t>
      </w:r>
      <w:r w:rsidR="007D5DF7">
        <w:rPr>
          <w:rFonts w:ascii="Arial" w:eastAsia="Calibri" w:hAnsi="Arial" w:cs="Arial"/>
          <w:sz w:val="24"/>
          <w:szCs w:val="24"/>
        </w:rPr>
        <w:t xml:space="preserve">5%, l’inflation, </w:t>
      </w:r>
      <w:r w:rsidR="0048584F" w:rsidRPr="007D5DF7">
        <w:rPr>
          <w:rFonts w:ascii="Arial" w:eastAsia="Calibri" w:hAnsi="Arial" w:cs="Arial"/>
          <w:sz w:val="24"/>
          <w:szCs w:val="24"/>
        </w:rPr>
        <w:t xml:space="preserve">à son plus haut niveau depuis 1985, </w:t>
      </w:r>
      <w:r w:rsidR="00F070FB">
        <w:rPr>
          <w:rFonts w:ascii="Arial" w:eastAsia="Calibri" w:hAnsi="Arial" w:cs="Arial"/>
          <w:sz w:val="24"/>
          <w:szCs w:val="24"/>
        </w:rPr>
        <w:t>va faire augmenter</w:t>
      </w:r>
      <w:r w:rsidR="007D5DF7">
        <w:rPr>
          <w:rFonts w:ascii="Arial" w:eastAsia="Calibri" w:hAnsi="Arial" w:cs="Arial"/>
          <w:sz w:val="24"/>
          <w:szCs w:val="24"/>
        </w:rPr>
        <w:t xml:space="preserve"> les dépenses </w:t>
      </w:r>
      <w:r w:rsidR="00F070FB">
        <w:rPr>
          <w:rFonts w:ascii="Arial" w:eastAsia="Calibri" w:hAnsi="Arial" w:cs="Arial"/>
          <w:sz w:val="24"/>
          <w:szCs w:val="24"/>
        </w:rPr>
        <w:t xml:space="preserve">annuelles </w:t>
      </w:r>
      <w:r w:rsidR="007D5DF7">
        <w:rPr>
          <w:rFonts w:ascii="Arial" w:eastAsia="Calibri" w:hAnsi="Arial" w:cs="Arial"/>
          <w:sz w:val="24"/>
          <w:szCs w:val="24"/>
        </w:rPr>
        <w:t>de fonctionnement</w:t>
      </w:r>
      <w:r w:rsidR="0048584F" w:rsidRPr="007D5DF7">
        <w:rPr>
          <w:rFonts w:ascii="Arial" w:eastAsia="Calibri" w:hAnsi="Arial" w:cs="Arial"/>
          <w:sz w:val="24"/>
          <w:szCs w:val="24"/>
        </w:rPr>
        <w:t xml:space="preserve"> de plus de 5 Md€. </w:t>
      </w:r>
    </w:p>
    <w:p w:rsidR="005E7F71" w:rsidRPr="007D5DF7" w:rsidRDefault="005E7F71" w:rsidP="00DF2034">
      <w:pPr>
        <w:spacing w:after="0" w:line="240" w:lineRule="auto"/>
        <w:jc w:val="both"/>
        <w:rPr>
          <w:rFonts w:ascii="Arial" w:eastAsia="Calibri" w:hAnsi="Arial" w:cs="Arial"/>
          <w:sz w:val="24"/>
          <w:szCs w:val="24"/>
        </w:rPr>
      </w:pPr>
      <w:r w:rsidRPr="007D5DF7">
        <w:rPr>
          <w:rFonts w:ascii="Arial" w:eastAsia="Calibri" w:hAnsi="Arial" w:cs="Arial"/>
          <w:sz w:val="24"/>
          <w:szCs w:val="24"/>
        </w:rPr>
        <w:t>Les coûts de l’énergie, des produits alimentaires et des matériaux connaissent une hausse spectaculaire</w:t>
      </w:r>
      <w:r w:rsidR="005035F6" w:rsidRPr="007D5DF7">
        <w:rPr>
          <w:rFonts w:ascii="Arial" w:eastAsia="Calibri" w:hAnsi="Arial" w:cs="Arial"/>
          <w:sz w:val="24"/>
          <w:szCs w:val="24"/>
        </w:rPr>
        <w:t xml:space="preserve"> qui à elle seule compromet gravement </w:t>
      </w:r>
      <w:r w:rsidR="00B112B3" w:rsidRPr="007D5DF7">
        <w:rPr>
          <w:rFonts w:ascii="Arial" w:eastAsia="Calibri" w:hAnsi="Arial" w:cs="Arial"/>
          <w:sz w:val="24"/>
          <w:szCs w:val="24"/>
        </w:rPr>
        <w:t>l’équilibre d</w:t>
      </w:r>
      <w:r w:rsidR="00157207" w:rsidRPr="007D5DF7">
        <w:rPr>
          <w:rFonts w:ascii="Arial" w:eastAsia="Calibri" w:hAnsi="Arial" w:cs="Arial"/>
          <w:sz w:val="24"/>
          <w:szCs w:val="24"/>
        </w:rPr>
        <w:t>es</w:t>
      </w:r>
      <w:r w:rsidR="00B112B3" w:rsidRPr="007D5DF7">
        <w:rPr>
          <w:rFonts w:ascii="Arial" w:eastAsia="Calibri" w:hAnsi="Arial" w:cs="Arial"/>
          <w:sz w:val="24"/>
          <w:szCs w:val="24"/>
        </w:rPr>
        <w:t xml:space="preserve"> budget</w:t>
      </w:r>
      <w:r w:rsidR="00157207" w:rsidRPr="007D5DF7">
        <w:rPr>
          <w:rFonts w:ascii="Arial" w:eastAsia="Calibri" w:hAnsi="Arial" w:cs="Arial"/>
          <w:sz w:val="24"/>
          <w:szCs w:val="24"/>
        </w:rPr>
        <w:t>s</w:t>
      </w:r>
      <w:r w:rsidR="00B112B3" w:rsidRPr="007D5DF7">
        <w:rPr>
          <w:rFonts w:ascii="Arial" w:eastAsia="Calibri" w:hAnsi="Arial" w:cs="Arial"/>
          <w:sz w:val="24"/>
          <w:szCs w:val="24"/>
        </w:rPr>
        <w:t xml:space="preserve"> de fonctionnement et </w:t>
      </w:r>
      <w:r w:rsidR="00157207" w:rsidRPr="007D5DF7">
        <w:rPr>
          <w:rFonts w:ascii="Arial" w:eastAsia="Calibri" w:hAnsi="Arial" w:cs="Arial"/>
          <w:sz w:val="24"/>
          <w:szCs w:val="24"/>
        </w:rPr>
        <w:t xml:space="preserve">les </w:t>
      </w:r>
      <w:r w:rsidR="005035F6" w:rsidRPr="007D5DF7">
        <w:rPr>
          <w:rFonts w:ascii="Arial" w:eastAsia="Calibri" w:hAnsi="Arial" w:cs="Arial"/>
          <w:sz w:val="24"/>
          <w:szCs w:val="24"/>
        </w:rPr>
        <w:t>capacités d’investissement</w:t>
      </w:r>
      <w:r w:rsidR="00157207" w:rsidRPr="007D5DF7">
        <w:rPr>
          <w:rFonts w:ascii="Arial" w:eastAsia="Calibri" w:hAnsi="Arial" w:cs="Arial"/>
          <w:sz w:val="24"/>
          <w:szCs w:val="24"/>
        </w:rPr>
        <w:t xml:space="preserve"> des communes</w:t>
      </w:r>
      <w:r w:rsidR="000E2596" w:rsidRPr="007D5DF7">
        <w:rPr>
          <w:rFonts w:ascii="Arial" w:eastAsia="Calibri" w:hAnsi="Arial" w:cs="Arial"/>
          <w:sz w:val="24"/>
          <w:szCs w:val="24"/>
        </w:rPr>
        <w:t xml:space="preserve"> et d</w:t>
      </w:r>
      <w:r w:rsidR="00890C51" w:rsidRPr="007D5DF7">
        <w:rPr>
          <w:rFonts w:ascii="Arial" w:eastAsia="Calibri" w:hAnsi="Arial" w:cs="Arial"/>
          <w:sz w:val="24"/>
          <w:szCs w:val="24"/>
        </w:rPr>
        <w:t>e l</w:t>
      </w:r>
      <w:r w:rsidR="000E2596" w:rsidRPr="007D5DF7">
        <w:rPr>
          <w:rFonts w:ascii="Arial" w:eastAsia="Calibri" w:hAnsi="Arial" w:cs="Arial"/>
          <w:sz w:val="24"/>
          <w:szCs w:val="24"/>
        </w:rPr>
        <w:t>eurs intercommunalités</w:t>
      </w:r>
      <w:r w:rsidR="005035F6" w:rsidRPr="007D5DF7">
        <w:rPr>
          <w:rFonts w:ascii="Arial" w:eastAsia="Calibri" w:hAnsi="Arial" w:cs="Arial"/>
          <w:sz w:val="24"/>
          <w:szCs w:val="24"/>
        </w:rPr>
        <w:t>.</w:t>
      </w:r>
    </w:p>
    <w:p w:rsidR="003E0CA9" w:rsidRPr="007D5DF7" w:rsidRDefault="003E0CA9" w:rsidP="003E0CA9">
      <w:pPr>
        <w:spacing w:after="0" w:line="240" w:lineRule="auto"/>
        <w:jc w:val="both"/>
        <w:rPr>
          <w:rFonts w:ascii="Arial" w:eastAsia="Calibri" w:hAnsi="Arial" w:cs="Arial"/>
          <w:sz w:val="24"/>
          <w:szCs w:val="24"/>
        </w:rPr>
      </w:pPr>
      <w:r w:rsidRPr="007D5DF7">
        <w:rPr>
          <w:rFonts w:ascii="Arial" w:eastAsia="Calibri" w:hAnsi="Arial" w:cs="Arial"/>
          <w:sz w:val="24"/>
          <w:szCs w:val="24"/>
        </w:rPr>
        <w:t xml:space="preserve">Enfin, </w:t>
      </w:r>
      <w:r w:rsidR="007D5DF7">
        <w:rPr>
          <w:rFonts w:ascii="Arial" w:eastAsia="Calibri" w:hAnsi="Arial" w:cs="Arial"/>
          <w:sz w:val="24"/>
          <w:szCs w:val="24"/>
        </w:rPr>
        <w:t>l’augmentation de 3,5% du point d’indice,</w:t>
      </w:r>
      <w:r w:rsidRPr="007D5DF7">
        <w:rPr>
          <w:rFonts w:ascii="Arial" w:eastAsia="Calibri" w:hAnsi="Arial" w:cs="Arial"/>
          <w:sz w:val="24"/>
          <w:szCs w:val="24"/>
        </w:rPr>
        <w:t xml:space="preserve"> mesure nécessaire pour les agents territoriaux</w:t>
      </w:r>
      <w:r w:rsidR="007D5DF7">
        <w:rPr>
          <w:rFonts w:ascii="Arial" w:eastAsia="Calibri" w:hAnsi="Arial" w:cs="Arial"/>
          <w:sz w:val="24"/>
          <w:szCs w:val="24"/>
        </w:rPr>
        <w:t xml:space="preserve">, </w:t>
      </w:r>
      <w:r w:rsidRPr="007D5DF7">
        <w:rPr>
          <w:rFonts w:ascii="Arial" w:eastAsia="Calibri" w:hAnsi="Arial" w:cs="Arial"/>
          <w:sz w:val="24"/>
          <w:szCs w:val="24"/>
        </w:rPr>
        <w:t xml:space="preserve">ajoute une </w:t>
      </w:r>
      <w:r w:rsidR="002575C6" w:rsidRPr="007D5DF7">
        <w:rPr>
          <w:rFonts w:ascii="Arial" w:eastAsia="Calibri" w:hAnsi="Arial" w:cs="Arial"/>
          <w:sz w:val="24"/>
          <w:szCs w:val="24"/>
        </w:rPr>
        <w:t>charge supplémentaire</w:t>
      </w:r>
      <w:r w:rsidRPr="007D5DF7">
        <w:rPr>
          <w:rFonts w:ascii="Arial" w:eastAsia="Calibri" w:hAnsi="Arial" w:cs="Arial"/>
          <w:sz w:val="24"/>
          <w:szCs w:val="24"/>
        </w:rPr>
        <w:t xml:space="preserve"> de 2,3 Md€ pour nos collectivités. </w:t>
      </w:r>
    </w:p>
    <w:p w:rsidR="00944B41" w:rsidRPr="007D5DF7" w:rsidRDefault="00944B41" w:rsidP="00DF2034">
      <w:pPr>
        <w:spacing w:after="0" w:line="240" w:lineRule="auto"/>
        <w:jc w:val="both"/>
        <w:rPr>
          <w:rFonts w:ascii="Arial" w:eastAsia="Calibri" w:hAnsi="Arial" w:cs="Arial"/>
          <w:sz w:val="24"/>
          <w:szCs w:val="24"/>
        </w:rPr>
      </w:pPr>
    </w:p>
    <w:p w:rsidR="006E1984" w:rsidRPr="002575C6" w:rsidRDefault="001C4295" w:rsidP="00DF2034">
      <w:pPr>
        <w:spacing w:after="0" w:line="240" w:lineRule="auto"/>
        <w:jc w:val="both"/>
        <w:rPr>
          <w:rFonts w:ascii="Arial" w:hAnsi="Arial" w:cs="Arial"/>
          <w:sz w:val="24"/>
          <w:szCs w:val="24"/>
        </w:rPr>
      </w:pPr>
      <w:r w:rsidRPr="005B7B76">
        <w:rPr>
          <w:rFonts w:ascii="Arial" w:hAnsi="Arial" w:cs="Arial"/>
          <w:sz w:val="24"/>
          <w:szCs w:val="24"/>
        </w:rPr>
        <w:t>A</w:t>
      </w:r>
      <w:r w:rsidR="00E70AE2" w:rsidRPr="005B7B76">
        <w:rPr>
          <w:rFonts w:ascii="Arial" w:hAnsi="Arial" w:cs="Arial"/>
          <w:sz w:val="24"/>
          <w:szCs w:val="24"/>
        </w:rPr>
        <w:t>près</w:t>
      </w:r>
      <w:r w:rsidR="00E672EF" w:rsidRPr="005B7B76">
        <w:rPr>
          <w:rFonts w:ascii="Arial" w:hAnsi="Arial" w:cs="Arial"/>
          <w:sz w:val="24"/>
          <w:szCs w:val="24"/>
        </w:rPr>
        <w:t xml:space="preserve"> quatre</w:t>
      </w:r>
      <w:r w:rsidR="00E70AE2" w:rsidRPr="005B7B76">
        <w:rPr>
          <w:rFonts w:ascii="Arial" w:hAnsi="Arial" w:cs="Arial"/>
          <w:sz w:val="24"/>
          <w:szCs w:val="24"/>
        </w:rPr>
        <w:t xml:space="preserve"> ans de baisse des dotations</w:t>
      </w:r>
      <w:r w:rsidR="006E1984" w:rsidRPr="005B7B76">
        <w:rPr>
          <w:rFonts w:ascii="Arial" w:hAnsi="Arial" w:cs="Arial"/>
          <w:sz w:val="24"/>
          <w:szCs w:val="24"/>
        </w:rPr>
        <w:t xml:space="preserve"> de 2014 à 2017</w:t>
      </w:r>
      <w:r w:rsidR="00E70AE2" w:rsidRPr="005B7B76">
        <w:rPr>
          <w:rFonts w:ascii="Arial" w:hAnsi="Arial" w:cs="Arial"/>
          <w:sz w:val="24"/>
          <w:szCs w:val="24"/>
        </w:rPr>
        <w:t xml:space="preserve">, la </w:t>
      </w:r>
      <w:r w:rsidR="0037756E" w:rsidRPr="005B7B76">
        <w:rPr>
          <w:rFonts w:ascii="Arial" w:hAnsi="Arial" w:cs="Arial"/>
          <w:sz w:val="24"/>
          <w:szCs w:val="24"/>
        </w:rPr>
        <w:t xml:space="preserve">réduction des moyens </w:t>
      </w:r>
      <w:r w:rsidR="00574EF9" w:rsidRPr="005B7B76">
        <w:rPr>
          <w:rFonts w:ascii="Arial" w:hAnsi="Arial" w:cs="Arial"/>
          <w:sz w:val="24"/>
          <w:szCs w:val="24"/>
        </w:rPr>
        <w:t>s’est poursuivie </w:t>
      </w:r>
      <w:r w:rsidR="006E1984" w:rsidRPr="005B7B76">
        <w:rPr>
          <w:rFonts w:ascii="Arial" w:hAnsi="Arial" w:cs="Arial"/>
          <w:sz w:val="24"/>
          <w:szCs w:val="24"/>
        </w:rPr>
        <w:t xml:space="preserve">depuis 2017 </w:t>
      </w:r>
      <w:r w:rsidR="00574EF9" w:rsidRPr="005B7B76">
        <w:rPr>
          <w:rFonts w:ascii="Arial" w:hAnsi="Arial" w:cs="Arial"/>
          <w:sz w:val="24"/>
          <w:szCs w:val="24"/>
        </w:rPr>
        <w:t>avec</w:t>
      </w:r>
      <w:r w:rsidR="0037756E" w:rsidRPr="005B7B76">
        <w:rPr>
          <w:rFonts w:ascii="Arial" w:hAnsi="Arial" w:cs="Arial"/>
          <w:sz w:val="24"/>
          <w:szCs w:val="24"/>
        </w:rPr>
        <w:t xml:space="preserve"> le gel de la DGF et la baisse </w:t>
      </w:r>
      <w:r w:rsidR="007D5DF7" w:rsidRPr="005B7B76">
        <w:rPr>
          <w:rFonts w:ascii="Arial" w:hAnsi="Arial" w:cs="Arial"/>
          <w:sz w:val="24"/>
          <w:szCs w:val="24"/>
        </w:rPr>
        <w:t xml:space="preserve">chaque année </w:t>
      </w:r>
      <w:r w:rsidR="0037756E" w:rsidRPr="005B7B76">
        <w:rPr>
          <w:rFonts w:ascii="Arial" w:hAnsi="Arial" w:cs="Arial"/>
          <w:sz w:val="24"/>
          <w:szCs w:val="24"/>
        </w:rPr>
        <w:t xml:space="preserve">des </w:t>
      </w:r>
      <w:r w:rsidR="0037756E" w:rsidRPr="002575C6">
        <w:rPr>
          <w:rFonts w:ascii="Arial" w:hAnsi="Arial" w:cs="Arial"/>
          <w:sz w:val="24"/>
          <w:szCs w:val="24"/>
        </w:rPr>
        <w:t xml:space="preserve">attributions </w:t>
      </w:r>
      <w:r w:rsidR="003952C1" w:rsidRPr="002575C6">
        <w:rPr>
          <w:rFonts w:ascii="Arial" w:hAnsi="Arial" w:cs="Arial"/>
          <w:sz w:val="24"/>
          <w:szCs w:val="24"/>
        </w:rPr>
        <w:t xml:space="preserve">individuelles </w:t>
      </w:r>
      <w:r w:rsidR="00E70AE2" w:rsidRPr="002575C6">
        <w:rPr>
          <w:rFonts w:ascii="Arial" w:hAnsi="Arial" w:cs="Arial"/>
          <w:sz w:val="24"/>
          <w:szCs w:val="24"/>
        </w:rPr>
        <w:t>pour</w:t>
      </w:r>
      <w:r w:rsidR="0037756E" w:rsidRPr="002575C6">
        <w:rPr>
          <w:rFonts w:ascii="Arial" w:hAnsi="Arial" w:cs="Arial"/>
          <w:sz w:val="24"/>
          <w:szCs w:val="24"/>
        </w:rPr>
        <w:t xml:space="preserve"> plus de</w:t>
      </w:r>
      <w:r w:rsidR="00E70AE2" w:rsidRPr="002575C6">
        <w:rPr>
          <w:rFonts w:ascii="Arial" w:hAnsi="Arial" w:cs="Arial"/>
          <w:sz w:val="24"/>
          <w:szCs w:val="24"/>
        </w:rPr>
        <w:t xml:space="preserve"> la moitié des collectivités du bloc communal. </w:t>
      </w:r>
    </w:p>
    <w:p w:rsidR="006E1984" w:rsidRPr="002575C6" w:rsidRDefault="006E1984" w:rsidP="00DF2034">
      <w:pPr>
        <w:spacing w:after="0" w:line="240" w:lineRule="auto"/>
        <w:jc w:val="both"/>
        <w:rPr>
          <w:rFonts w:ascii="Arial" w:hAnsi="Arial" w:cs="Arial"/>
          <w:sz w:val="24"/>
          <w:szCs w:val="24"/>
        </w:rPr>
      </w:pPr>
    </w:p>
    <w:p w:rsidR="00E70AE2" w:rsidRPr="002575C6" w:rsidRDefault="002F1AE0" w:rsidP="00DF2034">
      <w:pPr>
        <w:spacing w:after="0" w:line="240" w:lineRule="auto"/>
        <w:jc w:val="both"/>
        <w:rPr>
          <w:rFonts w:ascii="Arial" w:hAnsi="Arial" w:cs="Arial"/>
          <w:sz w:val="24"/>
          <w:szCs w:val="24"/>
        </w:rPr>
      </w:pPr>
      <w:r w:rsidRPr="002575C6">
        <w:rPr>
          <w:rFonts w:ascii="Arial" w:hAnsi="Arial" w:cs="Arial"/>
          <w:sz w:val="24"/>
          <w:szCs w:val="24"/>
        </w:rPr>
        <w:t>Les projets de loi</w:t>
      </w:r>
      <w:r w:rsidR="001C4295" w:rsidRPr="002575C6">
        <w:rPr>
          <w:rFonts w:ascii="Arial" w:hAnsi="Arial" w:cs="Arial"/>
          <w:sz w:val="24"/>
          <w:szCs w:val="24"/>
        </w:rPr>
        <w:t xml:space="preserve"> de finances et de programmation des finances publiques</w:t>
      </w:r>
      <w:r w:rsidR="00E70AE2" w:rsidRPr="002575C6">
        <w:rPr>
          <w:rFonts w:ascii="Arial" w:hAnsi="Arial" w:cs="Arial"/>
          <w:sz w:val="24"/>
          <w:szCs w:val="24"/>
        </w:rPr>
        <w:t xml:space="preserve"> </w:t>
      </w:r>
      <w:r w:rsidR="003104D7" w:rsidRPr="002575C6">
        <w:rPr>
          <w:rFonts w:ascii="Arial" w:hAnsi="Arial" w:cs="Arial"/>
          <w:sz w:val="24"/>
          <w:szCs w:val="24"/>
        </w:rPr>
        <w:t>propose</w:t>
      </w:r>
      <w:r w:rsidR="001C4295" w:rsidRPr="002575C6">
        <w:rPr>
          <w:rFonts w:ascii="Arial" w:hAnsi="Arial" w:cs="Arial"/>
          <w:sz w:val="24"/>
          <w:szCs w:val="24"/>
        </w:rPr>
        <w:t>nt</w:t>
      </w:r>
      <w:r w:rsidR="003104D7" w:rsidRPr="002575C6">
        <w:rPr>
          <w:rFonts w:ascii="Arial" w:hAnsi="Arial" w:cs="Arial"/>
          <w:sz w:val="24"/>
          <w:szCs w:val="24"/>
        </w:rPr>
        <w:t xml:space="preserve"> de r</w:t>
      </w:r>
      <w:r w:rsidR="001D5C00" w:rsidRPr="002575C6">
        <w:rPr>
          <w:rFonts w:ascii="Arial" w:hAnsi="Arial" w:cs="Arial"/>
          <w:sz w:val="24"/>
          <w:szCs w:val="24"/>
        </w:rPr>
        <w:t>ajoute</w:t>
      </w:r>
      <w:r w:rsidR="003104D7" w:rsidRPr="002575C6">
        <w:rPr>
          <w:rFonts w:ascii="Arial" w:hAnsi="Arial" w:cs="Arial"/>
          <w:sz w:val="24"/>
          <w:szCs w:val="24"/>
        </w:rPr>
        <w:t>r</w:t>
      </w:r>
      <w:r w:rsidR="00376EA8" w:rsidRPr="002575C6">
        <w:rPr>
          <w:rFonts w:ascii="Arial" w:hAnsi="Arial" w:cs="Arial"/>
          <w:sz w:val="24"/>
          <w:szCs w:val="24"/>
        </w:rPr>
        <w:t xml:space="preserve"> </w:t>
      </w:r>
      <w:r w:rsidR="00134A95" w:rsidRPr="002575C6">
        <w:rPr>
          <w:rFonts w:ascii="Arial" w:hAnsi="Arial" w:cs="Arial"/>
          <w:sz w:val="24"/>
          <w:szCs w:val="24"/>
        </w:rPr>
        <w:t xml:space="preserve">encore </w:t>
      </w:r>
      <w:r w:rsidR="00376EA8" w:rsidRPr="002575C6">
        <w:rPr>
          <w:rFonts w:ascii="Arial" w:hAnsi="Arial" w:cs="Arial"/>
          <w:sz w:val="24"/>
          <w:szCs w:val="24"/>
        </w:rPr>
        <w:t>des contraintes avec la suppression de la CVAE et</w:t>
      </w:r>
      <w:r w:rsidR="00C65711" w:rsidRPr="002575C6">
        <w:rPr>
          <w:rFonts w:ascii="Arial" w:hAnsi="Arial" w:cs="Arial"/>
          <w:sz w:val="24"/>
          <w:szCs w:val="24"/>
        </w:rPr>
        <w:t xml:space="preserve"> une </w:t>
      </w:r>
      <w:r w:rsidR="00386989" w:rsidRPr="002575C6">
        <w:rPr>
          <w:rFonts w:ascii="Arial" w:hAnsi="Arial" w:cs="Arial"/>
          <w:sz w:val="24"/>
          <w:szCs w:val="24"/>
        </w:rPr>
        <w:t>nouvel</w:t>
      </w:r>
      <w:r w:rsidR="00661180" w:rsidRPr="002575C6">
        <w:rPr>
          <w:rFonts w:ascii="Arial" w:hAnsi="Arial" w:cs="Arial"/>
          <w:sz w:val="24"/>
          <w:szCs w:val="24"/>
        </w:rPr>
        <w:t>le</w:t>
      </w:r>
      <w:r w:rsidR="00386989" w:rsidRPr="002575C6">
        <w:rPr>
          <w:rFonts w:ascii="Arial" w:hAnsi="Arial" w:cs="Arial"/>
          <w:sz w:val="24"/>
          <w:szCs w:val="24"/>
        </w:rPr>
        <w:t xml:space="preserve"> restriction</w:t>
      </w:r>
      <w:r w:rsidR="00C65711" w:rsidRPr="002575C6">
        <w:rPr>
          <w:rFonts w:ascii="Arial" w:hAnsi="Arial" w:cs="Arial"/>
          <w:sz w:val="24"/>
          <w:szCs w:val="24"/>
        </w:rPr>
        <w:t xml:space="preserve"> des </w:t>
      </w:r>
      <w:r w:rsidR="0037756E" w:rsidRPr="002575C6">
        <w:rPr>
          <w:rFonts w:ascii="Arial" w:hAnsi="Arial" w:cs="Arial"/>
          <w:sz w:val="24"/>
          <w:szCs w:val="24"/>
        </w:rPr>
        <w:t>intervention</w:t>
      </w:r>
      <w:r w:rsidR="001C4295" w:rsidRPr="002575C6">
        <w:rPr>
          <w:rFonts w:ascii="Arial" w:hAnsi="Arial" w:cs="Arial"/>
          <w:sz w:val="24"/>
          <w:szCs w:val="24"/>
        </w:rPr>
        <w:t>s</w:t>
      </w:r>
      <w:r w:rsidR="00386989" w:rsidRPr="002575C6">
        <w:rPr>
          <w:rFonts w:ascii="Arial" w:hAnsi="Arial" w:cs="Arial"/>
          <w:sz w:val="24"/>
          <w:szCs w:val="24"/>
        </w:rPr>
        <w:t xml:space="preserve"> des co</w:t>
      </w:r>
      <w:r w:rsidR="00661180" w:rsidRPr="002575C6">
        <w:rPr>
          <w:rFonts w:ascii="Arial" w:hAnsi="Arial" w:cs="Arial"/>
          <w:sz w:val="24"/>
          <w:szCs w:val="24"/>
        </w:rPr>
        <w:t>llectivités locales</w:t>
      </w:r>
      <w:r w:rsidR="00057424" w:rsidRPr="002575C6">
        <w:rPr>
          <w:rFonts w:ascii="Arial" w:hAnsi="Arial" w:cs="Arial"/>
          <w:sz w:val="24"/>
          <w:szCs w:val="24"/>
        </w:rPr>
        <w:t>,</w:t>
      </w:r>
      <w:r w:rsidR="00661180" w:rsidRPr="002575C6">
        <w:rPr>
          <w:rFonts w:ascii="Arial" w:hAnsi="Arial" w:cs="Arial"/>
          <w:sz w:val="24"/>
          <w:szCs w:val="24"/>
        </w:rPr>
        <w:t xml:space="preserve"> </w:t>
      </w:r>
      <w:r w:rsidR="00F625C2" w:rsidRPr="002575C6">
        <w:rPr>
          <w:rFonts w:ascii="Arial" w:hAnsi="Arial" w:cs="Arial"/>
          <w:sz w:val="24"/>
          <w:szCs w:val="24"/>
        </w:rPr>
        <w:t>à hauteur</w:t>
      </w:r>
      <w:r w:rsidR="00661180" w:rsidRPr="002575C6">
        <w:rPr>
          <w:rFonts w:ascii="Arial" w:hAnsi="Arial" w:cs="Arial"/>
          <w:sz w:val="24"/>
          <w:szCs w:val="24"/>
        </w:rPr>
        <w:t xml:space="preserve"> de </w:t>
      </w:r>
      <w:r w:rsidR="001C4295" w:rsidRPr="002575C6">
        <w:rPr>
          <w:rFonts w:ascii="Arial" w:hAnsi="Arial" w:cs="Arial"/>
          <w:sz w:val="24"/>
          <w:szCs w:val="24"/>
        </w:rPr>
        <w:t>15</w:t>
      </w:r>
      <w:r w:rsidR="00661180" w:rsidRPr="002575C6">
        <w:rPr>
          <w:rFonts w:ascii="Arial" w:hAnsi="Arial" w:cs="Arial"/>
          <w:sz w:val="24"/>
          <w:szCs w:val="24"/>
        </w:rPr>
        <w:t xml:space="preserve"> Md€ </w:t>
      </w:r>
      <w:r w:rsidR="00F625C2" w:rsidRPr="002575C6">
        <w:rPr>
          <w:rFonts w:ascii="Arial" w:hAnsi="Arial" w:cs="Arial"/>
          <w:sz w:val="24"/>
          <w:szCs w:val="24"/>
        </w:rPr>
        <w:t>d’ici</w:t>
      </w:r>
      <w:r w:rsidR="00661180" w:rsidRPr="002575C6">
        <w:rPr>
          <w:rFonts w:ascii="Arial" w:hAnsi="Arial" w:cs="Arial"/>
          <w:sz w:val="24"/>
          <w:szCs w:val="24"/>
        </w:rPr>
        <w:t xml:space="preserve"> 2027</w:t>
      </w:r>
      <w:r w:rsidR="00057424" w:rsidRPr="002575C6">
        <w:rPr>
          <w:rFonts w:ascii="Arial" w:hAnsi="Arial" w:cs="Arial"/>
          <w:sz w:val="24"/>
          <w:szCs w:val="24"/>
        </w:rPr>
        <w:t>,</w:t>
      </w:r>
      <w:r w:rsidR="00F668AE" w:rsidRPr="002575C6">
        <w:rPr>
          <w:rFonts w:ascii="Arial" w:hAnsi="Arial" w:cs="Arial"/>
          <w:sz w:val="24"/>
          <w:szCs w:val="24"/>
        </w:rPr>
        <w:t xml:space="preserve"> par un dispositif d’encadrement des dépenses comparable à celui dit de </w:t>
      </w:r>
      <w:r w:rsidR="005035F6" w:rsidRPr="002575C6">
        <w:rPr>
          <w:rFonts w:ascii="Arial" w:hAnsi="Arial" w:cs="Arial"/>
          <w:sz w:val="24"/>
          <w:szCs w:val="24"/>
        </w:rPr>
        <w:t>Cahors et visant un plus grand nombre de communes et d’intercommunalités.</w:t>
      </w:r>
    </w:p>
    <w:p w:rsidR="00C65711" w:rsidRPr="002575C6" w:rsidRDefault="00C65711" w:rsidP="00DF2034">
      <w:pPr>
        <w:spacing w:after="0" w:line="240" w:lineRule="auto"/>
        <w:jc w:val="both"/>
        <w:rPr>
          <w:rFonts w:ascii="Arial" w:hAnsi="Arial" w:cs="Arial"/>
          <w:sz w:val="24"/>
          <w:szCs w:val="24"/>
        </w:rPr>
      </w:pPr>
    </w:p>
    <w:p w:rsidR="005B7B76" w:rsidRPr="002575C6" w:rsidRDefault="00D01569" w:rsidP="00DF2034">
      <w:pPr>
        <w:spacing w:after="0" w:line="240" w:lineRule="auto"/>
        <w:jc w:val="both"/>
        <w:rPr>
          <w:rFonts w:ascii="Arial" w:hAnsi="Arial" w:cs="Arial"/>
          <w:b/>
          <w:sz w:val="24"/>
          <w:szCs w:val="24"/>
        </w:rPr>
      </w:pPr>
      <w:r w:rsidRPr="002575C6">
        <w:rPr>
          <w:rFonts w:ascii="Arial" w:hAnsi="Arial" w:cs="Arial"/>
          <w:b/>
          <w:sz w:val="24"/>
          <w:szCs w:val="24"/>
        </w:rPr>
        <w:t>Ces</w:t>
      </w:r>
      <w:r w:rsidR="001C4295" w:rsidRPr="002575C6">
        <w:rPr>
          <w:rFonts w:ascii="Arial" w:hAnsi="Arial" w:cs="Arial"/>
          <w:b/>
          <w:sz w:val="24"/>
          <w:szCs w:val="24"/>
        </w:rPr>
        <w:t xml:space="preserve"> mesures de restriction </w:t>
      </w:r>
      <w:r w:rsidR="00157207" w:rsidRPr="002575C6">
        <w:rPr>
          <w:rFonts w:ascii="Arial" w:hAnsi="Arial" w:cs="Arial"/>
          <w:b/>
          <w:sz w:val="24"/>
          <w:szCs w:val="24"/>
        </w:rPr>
        <w:t xml:space="preserve">financières de nos communes </w:t>
      </w:r>
      <w:r w:rsidR="001C4295" w:rsidRPr="002575C6">
        <w:rPr>
          <w:rFonts w:ascii="Arial" w:hAnsi="Arial" w:cs="Arial"/>
          <w:b/>
          <w:sz w:val="24"/>
          <w:szCs w:val="24"/>
        </w:rPr>
        <w:t xml:space="preserve">ne se justifient pas : les collectivités ne sont pas en déficit et les soldes qu’elles dégagent </w:t>
      </w:r>
      <w:r w:rsidR="005B7B76" w:rsidRPr="002575C6">
        <w:rPr>
          <w:rFonts w:ascii="Arial" w:hAnsi="Arial" w:cs="Arial"/>
          <w:b/>
          <w:sz w:val="24"/>
          <w:szCs w:val="24"/>
        </w:rPr>
        <w:t>contribuent</w:t>
      </w:r>
      <w:r w:rsidR="001C4295" w:rsidRPr="002575C6">
        <w:rPr>
          <w:rFonts w:ascii="Arial" w:hAnsi="Arial" w:cs="Arial"/>
          <w:b/>
          <w:sz w:val="24"/>
          <w:szCs w:val="24"/>
        </w:rPr>
        <w:t xml:space="preserve"> au contraire </w:t>
      </w:r>
      <w:r w:rsidR="005B7B76" w:rsidRPr="002575C6">
        <w:rPr>
          <w:rFonts w:ascii="Arial" w:hAnsi="Arial" w:cs="Arial"/>
          <w:b/>
          <w:sz w:val="24"/>
          <w:szCs w:val="24"/>
        </w:rPr>
        <w:t>à limiter le déficit public</w:t>
      </w:r>
      <w:r w:rsidR="001C4295" w:rsidRPr="002575C6">
        <w:rPr>
          <w:rFonts w:ascii="Arial" w:hAnsi="Arial" w:cs="Arial"/>
          <w:b/>
          <w:sz w:val="24"/>
          <w:szCs w:val="24"/>
        </w:rPr>
        <w:t>.</w:t>
      </w:r>
      <w:r w:rsidR="00DF2034" w:rsidRPr="002575C6">
        <w:rPr>
          <w:rFonts w:ascii="Arial" w:hAnsi="Arial" w:cs="Arial"/>
          <w:b/>
          <w:sz w:val="24"/>
          <w:szCs w:val="24"/>
        </w:rPr>
        <w:t xml:space="preserve"> </w:t>
      </w:r>
    </w:p>
    <w:p w:rsidR="005B7B76" w:rsidRPr="002575C6" w:rsidRDefault="005B7B76" w:rsidP="00DF2034">
      <w:pPr>
        <w:spacing w:after="0" w:line="240" w:lineRule="auto"/>
        <w:jc w:val="both"/>
        <w:rPr>
          <w:rFonts w:ascii="Arial" w:hAnsi="Arial" w:cs="Arial"/>
          <w:sz w:val="24"/>
          <w:szCs w:val="24"/>
        </w:rPr>
      </w:pPr>
    </w:p>
    <w:p w:rsidR="00DF2034" w:rsidRPr="002575C6" w:rsidRDefault="00157207" w:rsidP="00DF2034">
      <w:pPr>
        <w:spacing w:after="0" w:line="240" w:lineRule="auto"/>
        <w:jc w:val="both"/>
        <w:rPr>
          <w:rFonts w:ascii="Arial" w:hAnsi="Arial" w:cs="Arial"/>
          <w:sz w:val="24"/>
          <w:szCs w:val="24"/>
        </w:rPr>
      </w:pPr>
      <w:r w:rsidRPr="002575C6">
        <w:rPr>
          <w:rFonts w:ascii="Arial" w:hAnsi="Arial" w:cs="Arial"/>
          <w:sz w:val="24"/>
          <w:szCs w:val="24"/>
        </w:rPr>
        <w:t>L</w:t>
      </w:r>
      <w:r w:rsidR="00DF2034" w:rsidRPr="002575C6">
        <w:rPr>
          <w:rFonts w:ascii="Arial" w:hAnsi="Arial" w:cs="Arial"/>
          <w:sz w:val="24"/>
          <w:szCs w:val="24"/>
        </w:rPr>
        <w:t>es erreurs du passé</w:t>
      </w:r>
      <w:r w:rsidRPr="002575C6">
        <w:rPr>
          <w:rFonts w:ascii="Arial" w:hAnsi="Arial" w:cs="Arial"/>
          <w:sz w:val="24"/>
          <w:szCs w:val="24"/>
        </w:rPr>
        <w:t xml:space="preserve"> ne doivent pas être reproduites</w:t>
      </w:r>
      <w:r w:rsidR="00DF2034" w:rsidRPr="002575C6">
        <w:rPr>
          <w:rFonts w:ascii="Arial" w:hAnsi="Arial" w:cs="Arial"/>
          <w:sz w:val="24"/>
          <w:szCs w:val="24"/>
        </w:rPr>
        <w:t xml:space="preserve"> : </w:t>
      </w:r>
      <w:r w:rsidRPr="002575C6">
        <w:rPr>
          <w:rFonts w:ascii="Arial" w:hAnsi="Arial" w:cs="Arial"/>
          <w:sz w:val="24"/>
          <w:szCs w:val="24"/>
        </w:rPr>
        <w:t xml:space="preserve">depuis 2014, </w:t>
      </w:r>
      <w:r w:rsidR="00DF2034" w:rsidRPr="002575C6">
        <w:rPr>
          <w:rFonts w:ascii="Arial" w:hAnsi="Arial" w:cs="Arial"/>
          <w:sz w:val="24"/>
          <w:szCs w:val="24"/>
        </w:rPr>
        <w:t xml:space="preserve">la baisse </w:t>
      </w:r>
      <w:r w:rsidRPr="002575C6">
        <w:rPr>
          <w:rFonts w:ascii="Arial" w:hAnsi="Arial" w:cs="Arial"/>
          <w:sz w:val="24"/>
          <w:szCs w:val="24"/>
        </w:rPr>
        <w:t xml:space="preserve">cumulée </w:t>
      </w:r>
      <w:r w:rsidR="00DF2034" w:rsidRPr="002575C6">
        <w:rPr>
          <w:rFonts w:ascii="Arial" w:hAnsi="Arial" w:cs="Arial"/>
          <w:sz w:val="24"/>
          <w:szCs w:val="24"/>
        </w:rPr>
        <w:t>des dotations</w:t>
      </w:r>
      <w:r w:rsidRPr="002575C6">
        <w:rPr>
          <w:rFonts w:ascii="Arial" w:hAnsi="Arial" w:cs="Arial"/>
          <w:sz w:val="24"/>
          <w:szCs w:val="24"/>
        </w:rPr>
        <w:t xml:space="preserve">, qui représente </w:t>
      </w:r>
      <w:r w:rsidR="00DF2034" w:rsidRPr="002575C6">
        <w:rPr>
          <w:rFonts w:ascii="Arial" w:hAnsi="Arial" w:cs="Arial"/>
          <w:sz w:val="24"/>
          <w:szCs w:val="24"/>
        </w:rPr>
        <w:t>un montant de 46 Md€</w:t>
      </w:r>
      <w:r w:rsidR="003952C1" w:rsidRPr="002575C6">
        <w:rPr>
          <w:rFonts w:ascii="Arial" w:hAnsi="Arial" w:cs="Arial"/>
          <w:sz w:val="24"/>
          <w:szCs w:val="24"/>
        </w:rPr>
        <w:t xml:space="preserve"> </w:t>
      </w:r>
      <w:r w:rsidR="00DF2034" w:rsidRPr="002575C6">
        <w:rPr>
          <w:rFonts w:ascii="Arial" w:hAnsi="Arial" w:cs="Arial"/>
          <w:sz w:val="24"/>
          <w:szCs w:val="24"/>
        </w:rPr>
        <w:t>a conduit à l’effondrement des investissements alo</w:t>
      </w:r>
      <w:r w:rsidR="007D5DF7" w:rsidRPr="002575C6">
        <w:rPr>
          <w:rFonts w:ascii="Arial" w:hAnsi="Arial" w:cs="Arial"/>
          <w:sz w:val="24"/>
          <w:szCs w:val="24"/>
        </w:rPr>
        <w:t xml:space="preserve">rs que les comptes </w:t>
      </w:r>
      <w:r w:rsidR="002575C6">
        <w:rPr>
          <w:rFonts w:ascii="Arial" w:hAnsi="Arial" w:cs="Arial"/>
          <w:sz w:val="24"/>
          <w:szCs w:val="24"/>
        </w:rPr>
        <w:t xml:space="preserve">de </w:t>
      </w:r>
      <w:r w:rsidR="007D5DF7" w:rsidRPr="002575C6">
        <w:rPr>
          <w:rFonts w:ascii="Arial" w:hAnsi="Arial" w:cs="Arial"/>
          <w:sz w:val="24"/>
          <w:szCs w:val="24"/>
        </w:rPr>
        <w:t xml:space="preserve">l’Etat n’ont </w:t>
      </w:r>
      <w:r w:rsidR="00DF2034" w:rsidRPr="002575C6">
        <w:rPr>
          <w:rFonts w:ascii="Arial" w:hAnsi="Arial" w:cs="Arial"/>
          <w:sz w:val="24"/>
          <w:szCs w:val="24"/>
        </w:rPr>
        <w:t xml:space="preserve">fait </w:t>
      </w:r>
      <w:r w:rsidR="002575C6" w:rsidRPr="002575C6">
        <w:rPr>
          <w:rFonts w:ascii="Arial" w:hAnsi="Arial" w:cs="Arial"/>
          <w:sz w:val="24"/>
          <w:szCs w:val="24"/>
        </w:rPr>
        <w:t>apparaître aucune</w:t>
      </w:r>
      <w:r w:rsidR="000E2596" w:rsidRPr="002575C6">
        <w:rPr>
          <w:rFonts w:ascii="Arial" w:hAnsi="Arial" w:cs="Arial"/>
          <w:sz w:val="24"/>
          <w:szCs w:val="24"/>
        </w:rPr>
        <w:t xml:space="preserve"> </w:t>
      </w:r>
      <w:r w:rsidR="00DF2034" w:rsidRPr="002575C6">
        <w:rPr>
          <w:rFonts w:ascii="Arial" w:hAnsi="Arial" w:cs="Arial"/>
          <w:sz w:val="24"/>
          <w:szCs w:val="24"/>
        </w:rPr>
        <w:t xml:space="preserve">réduction </w:t>
      </w:r>
      <w:r w:rsidR="002575C6" w:rsidRPr="002575C6">
        <w:rPr>
          <w:rFonts w:ascii="Arial" w:hAnsi="Arial" w:cs="Arial"/>
          <w:sz w:val="24"/>
          <w:szCs w:val="24"/>
        </w:rPr>
        <w:t>de déficit</w:t>
      </w:r>
      <w:r w:rsidR="005035F6" w:rsidRPr="002575C6">
        <w:rPr>
          <w:rFonts w:ascii="Arial" w:hAnsi="Arial" w:cs="Arial"/>
          <w:sz w:val="24"/>
          <w:szCs w:val="24"/>
        </w:rPr>
        <w:t> :</w:t>
      </w:r>
      <w:r w:rsidR="00DF2034" w:rsidRPr="002575C6">
        <w:rPr>
          <w:rFonts w:ascii="Arial" w:hAnsi="Arial" w:cs="Arial"/>
          <w:sz w:val="24"/>
          <w:szCs w:val="24"/>
        </w:rPr>
        <w:t xml:space="preserve"> celui de 2019, juste a</w:t>
      </w:r>
      <w:r w:rsidR="005035F6" w:rsidRPr="002575C6">
        <w:rPr>
          <w:rFonts w:ascii="Arial" w:hAnsi="Arial" w:cs="Arial"/>
          <w:sz w:val="24"/>
          <w:szCs w:val="24"/>
        </w:rPr>
        <w:t>vant la crise sanitaire, est resté</w:t>
      </w:r>
      <w:r w:rsidR="00DF2034" w:rsidRPr="002575C6">
        <w:rPr>
          <w:rFonts w:ascii="Arial" w:hAnsi="Arial" w:cs="Arial"/>
          <w:sz w:val="24"/>
          <w:szCs w:val="24"/>
        </w:rPr>
        <w:t xml:space="preserve"> au même niveau qu’en 2014 (3,5% du PIB). </w:t>
      </w:r>
    </w:p>
    <w:p w:rsidR="001C4295" w:rsidRPr="002575C6" w:rsidRDefault="001C4295" w:rsidP="00DF2034">
      <w:pPr>
        <w:spacing w:after="0" w:line="240" w:lineRule="auto"/>
        <w:jc w:val="both"/>
        <w:rPr>
          <w:rFonts w:ascii="Arial" w:hAnsi="Arial" w:cs="Arial"/>
          <w:sz w:val="24"/>
          <w:szCs w:val="24"/>
        </w:rPr>
      </w:pPr>
    </w:p>
    <w:p w:rsidR="001C4295" w:rsidRPr="00F070FB" w:rsidRDefault="001C4295" w:rsidP="00DF2034">
      <w:pPr>
        <w:spacing w:line="240" w:lineRule="auto"/>
        <w:jc w:val="both"/>
        <w:rPr>
          <w:rFonts w:ascii="Arial" w:hAnsi="Arial" w:cs="Arial"/>
          <w:sz w:val="24"/>
          <w:szCs w:val="24"/>
        </w:rPr>
      </w:pPr>
      <w:r w:rsidRPr="00F070FB">
        <w:rPr>
          <w:rFonts w:ascii="Arial" w:hAnsi="Arial" w:cs="Arial"/>
          <w:b/>
          <w:sz w:val="24"/>
          <w:szCs w:val="24"/>
        </w:rPr>
        <w:t xml:space="preserve">Face à </w:t>
      </w:r>
      <w:r w:rsidR="005035F6" w:rsidRPr="00F070FB">
        <w:rPr>
          <w:rFonts w:ascii="Arial" w:hAnsi="Arial" w:cs="Arial"/>
          <w:b/>
          <w:sz w:val="24"/>
          <w:szCs w:val="24"/>
        </w:rPr>
        <w:t>l’impact</w:t>
      </w:r>
      <w:r w:rsidRPr="00F070FB">
        <w:rPr>
          <w:rFonts w:ascii="Arial" w:hAnsi="Arial" w:cs="Arial"/>
          <w:b/>
          <w:sz w:val="24"/>
          <w:szCs w:val="24"/>
        </w:rPr>
        <w:t xml:space="preserve"> de la crise </w:t>
      </w:r>
      <w:r w:rsidR="00DF2034" w:rsidRPr="00F070FB">
        <w:rPr>
          <w:rFonts w:ascii="Arial" w:hAnsi="Arial" w:cs="Arial"/>
          <w:b/>
          <w:sz w:val="24"/>
          <w:szCs w:val="24"/>
        </w:rPr>
        <w:t>économique,</w:t>
      </w:r>
      <w:r w:rsidR="002F1AE0" w:rsidRPr="00F070FB">
        <w:rPr>
          <w:rFonts w:ascii="Arial" w:hAnsi="Arial" w:cs="Arial"/>
          <w:b/>
          <w:sz w:val="24"/>
          <w:szCs w:val="24"/>
        </w:rPr>
        <w:t xml:space="preserve"> il est</w:t>
      </w:r>
      <w:r w:rsidRPr="00F070FB">
        <w:rPr>
          <w:rFonts w:ascii="Arial" w:hAnsi="Arial" w:cs="Arial"/>
          <w:b/>
          <w:sz w:val="24"/>
          <w:szCs w:val="24"/>
        </w:rPr>
        <w:t xml:space="preserve"> essentiel de garantir</w:t>
      </w:r>
      <w:r w:rsidR="00DF2034" w:rsidRPr="00F070FB">
        <w:rPr>
          <w:rFonts w:ascii="Arial" w:hAnsi="Arial" w:cs="Arial"/>
          <w:b/>
          <w:sz w:val="24"/>
          <w:szCs w:val="24"/>
        </w:rPr>
        <w:t xml:space="preserve"> </w:t>
      </w:r>
      <w:r w:rsidRPr="00F070FB">
        <w:rPr>
          <w:rFonts w:ascii="Arial" w:hAnsi="Arial" w:cs="Arial"/>
          <w:b/>
          <w:sz w:val="24"/>
          <w:szCs w:val="24"/>
        </w:rPr>
        <w:t xml:space="preserve">la stabilité </w:t>
      </w:r>
      <w:r w:rsidR="002C38D2" w:rsidRPr="00F070FB">
        <w:rPr>
          <w:rFonts w:ascii="Arial" w:hAnsi="Arial" w:cs="Arial"/>
          <w:b/>
          <w:sz w:val="24"/>
          <w:szCs w:val="24"/>
        </w:rPr>
        <w:t xml:space="preserve">en Euros constants </w:t>
      </w:r>
      <w:r w:rsidRPr="00F070FB">
        <w:rPr>
          <w:rFonts w:ascii="Arial" w:hAnsi="Arial" w:cs="Arial"/>
          <w:b/>
          <w:sz w:val="24"/>
          <w:szCs w:val="24"/>
        </w:rPr>
        <w:t>des ressources locales</w:t>
      </w:r>
      <w:r w:rsidRPr="00F070FB">
        <w:rPr>
          <w:rFonts w:ascii="Arial" w:hAnsi="Arial" w:cs="Arial"/>
          <w:sz w:val="24"/>
          <w:szCs w:val="24"/>
        </w:rPr>
        <w:t xml:space="preserve"> pour </w:t>
      </w:r>
      <w:r w:rsidR="005B7B76" w:rsidRPr="00F070FB">
        <w:rPr>
          <w:rFonts w:ascii="Arial" w:hAnsi="Arial" w:cs="Arial"/>
          <w:sz w:val="24"/>
          <w:szCs w:val="24"/>
        </w:rPr>
        <w:t>maintenir l’offre</w:t>
      </w:r>
      <w:r w:rsidRPr="00F070FB">
        <w:rPr>
          <w:rFonts w:ascii="Arial" w:hAnsi="Arial" w:cs="Arial"/>
          <w:sz w:val="24"/>
          <w:szCs w:val="24"/>
        </w:rPr>
        <w:t xml:space="preserve"> de services à la population, soutien indispensable</w:t>
      </w:r>
      <w:r w:rsidR="003952C1" w:rsidRPr="00F070FB">
        <w:rPr>
          <w:rFonts w:ascii="Arial" w:hAnsi="Arial" w:cs="Arial"/>
          <w:sz w:val="24"/>
          <w:szCs w:val="24"/>
        </w:rPr>
        <w:t xml:space="preserve"> </w:t>
      </w:r>
      <w:r w:rsidR="000E2596" w:rsidRPr="00F070FB">
        <w:rPr>
          <w:rFonts w:ascii="Arial" w:hAnsi="Arial" w:cs="Arial"/>
          <w:sz w:val="24"/>
          <w:szCs w:val="24"/>
        </w:rPr>
        <w:t>au pouvoir d’achat des ménages.</w:t>
      </w:r>
    </w:p>
    <w:p w:rsidR="001C4295" w:rsidRPr="00F070FB" w:rsidRDefault="001C4295" w:rsidP="00DF2034">
      <w:pPr>
        <w:spacing w:line="240" w:lineRule="auto"/>
        <w:jc w:val="both"/>
        <w:rPr>
          <w:rFonts w:ascii="Arial" w:hAnsi="Arial" w:cs="Arial"/>
          <w:sz w:val="24"/>
          <w:szCs w:val="24"/>
        </w:rPr>
      </w:pPr>
      <w:r w:rsidRPr="00F070FB">
        <w:rPr>
          <w:rFonts w:ascii="Arial" w:hAnsi="Arial" w:cs="Arial"/>
          <w:sz w:val="24"/>
          <w:szCs w:val="24"/>
        </w:rPr>
        <w:t xml:space="preserve">Face à la faiblesse de la croissance annoncée à 1% en 2023, </w:t>
      </w:r>
      <w:r w:rsidR="00A87E25" w:rsidRPr="00F070FB">
        <w:rPr>
          <w:rFonts w:ascii="Arial" w:hAnsi="Arial" w:cs="Arial"/>
          <w:sz w:val="24"/>
          <w:szCs w:val="24"/>
        </w:rPr>
        <w:t xml:space="preserve">l’urgence est également de </w:t>
      </w:r>
      <w:r w:rsidRPr="00F070FB">
        <w:rPr>
          <w:rFonts w:ascii="Arial" w:hAnsi="Arial" w:cs="Arial"/>
          <w:sz w:val="24"/>
          <w:szCs w:val="24"/>
        </w:rPr>
        <w:t>soutenir l’investissement public local qui représente 70% de l’investissement public</w:t>
      </w:r>
      <w:r w:rsidR="000E2596" w:rsidRPr="00F070FB">
        <w:rPr>
          <w:rFonts w:ascii="Arial" w:hAnsi="Arial" w:cs="Arial"/>
          <w:sz w:val="24"/>
          <w:szCs w:val="24"/>
        </w:rPr>
        <w:t xml:space="preserve"> et constitue une nécessité pour accompagner la transition écologique des transports, des logements et plus largement de notre économie</w:t>
      </w:r>
      <w:r w:rsidRPr="00F070FB">
        <w:rPr>
          <w:rFonts w:ascii="Arial" w:hAnsi="Arial" w:cs="Arial"/>
          <w:sz w:val="24"/>
          <w:szCs w:val="24"/>
        </w:rPr>
        <w:t xml:space="preserve">. </w:t>
      </w:r>
    </w:p>
    <w:p w:rsidR="005B7B76" w:rsidRPr="00F070FB" w:rsidRDefault="001C4295" w:rsidP="00DF2034">
      <w:pPr>
        <w:spacing w:line="240" w:lineRule="auto"/>
        <w:jc w:val="both"/>
        <w:rPr>
          <w:rFonts w:ascii="Arial" w:hAnsi="Arial" w:cs="Arial"/>
          <w:sz w:val="24"/>
          <w:szCs w:val="24"/>
        </w:rPr>
      </w:pPr>
      <w:r w:rsidRPr="00F070FB">
        <w:rPr>
          <w:rFonts w:ascii="Arial" w:hAnsi="Arial" w:cs="Arial"/>
          <w:b/>
          <w:sz w:val="24"/>
          <w:szCs w:val="24"/>
        </w:rPr>
        <w:t xml:space="preserve">Dans un contexte de crise mondiale, </w:t>
      </w:r>
      <w:r w:rsidR="002C38D2" w:rsidRPr="00F070FB">
        <w:rPr>
          <w:rFonts w:ascii="Arial" w:hAnsi="Arial" w:cs="Arial"/>
          <w:b/>
          <w:sz w:val="24"/>
          <w:szCs w:val="24"/>
        </w:rPr>
        <w:t>le Parlement doit</w:t>
      </w:r>
      <w:r w:rsidRPr="00F070FB">
        <w:rPr>
          <w:rFonts w:ascii="Arial" w:hAnsi="Arial" w:cs="Arial"/>
          <w:b/>
          <w:sz w:val="24"/>
          <w:szCs w:val="24"/>
        </w:rPr>
        <w:t xml:space="preserve"> prendre</w:t>
      </w:r>
      <w:r w:rsidR="002C38D2" w:rsidRPr="00F070FB">
        <w:rPr>
          <w:rFonts w:ascii="Arial" w:hAnsi="Arial" w:cs="Arial"/>
          <w:b/>
          <w:sz w:val="24"/>
          <w:szCs w:val="24"/>
        </w:rPr>
        <w:t xml:space="preserve"> la mesure de cette réalité</w:t>
      </w:r>
      <w:r w:rsidR="002C38D2" w:rsidRPr="00F070FB">
        <w:rPr>
          <w:rFonts w:ascii="Arial" w:hAnsi="Arial" w:cs="Arial"/>
          <w:sz w:val="24"/>
          <w:szCs w:val="24"/>
        </w:rPr>
        <w:t xml:space="preserve"> et</w:t>
      </w:r>
      <w:r w:rsidRPr="00F070FB">
        <w:rPr>
          <w:rFonts w:ascii="Arial" w:hAnsi="Arial" w:cs="Arial"/>
          <w:sz w:val="24"/>
          <w:szCs w:val="24"/>
        </w:rPr>
        <w:t xml:space="preserve"> permettre aux communes et intercommunalités de disposer des moyens d’assurer leurs miss</w:t>
      </w:r>
      <w:r w:rsidR="00DF2034" w:rsidRPr="00F070FB">
        <w:rPr>
          <w:rFonts w:ascii="Arial" w:hAnsi="Arial" w:cs="Arial"/>
          <w:sz w:val="24"/>
          <w:szCs w:val="24"/>
        </w:rPr>
        <w:t>ions d’amortisseurs des crises.</w:t>
      </w:r>
    </w:p>
    <w:p w:rsidR="002C38D2" w:rsidRDefault="00057424" w:rsidP="00057424">
      <w:pPr>
        <w:spacing w:line="240" w:lineRule="auto"/>
        <w:jc w:val="center"/>
        <w:rPr>
          <w:rFonts w:ascii="Arial" w:hAnsi="Arial" w:cs="Arial"/>
          <w:sz w:val="24"/>
          <w:szCs w:val="24"/>
        </w:rPr>
      </w:pPr>
      <w:r>
        <w:rPr>
          <w:rFonts w:ascii="Arial" w:hAnsi="Arial" w:cs="Arial"/>
          <w:sz w:val="24"/>
          <w:szCs w:val="24"/>
        </w:rPr>
        <w:t>___________</w:t>
      </w:r>
    </w:p>
    <w:p w:rsidR="00CD792C" w:rsidRPr="002575C6" w:rsidRDefault="00DF2034" w:rsidP="002575C6">
      <w:pPr>
        <w:pStyle w:val="Titre1"/>
        <w:jc w:val="center"/>
        <w:rPr>
          <w:b/>
        </w:rPr>
      </w:pPr>
      <w:r w:rsidRPr="002575C6">
        <w:rPr>
          <w:b/>
        </w:rPr>
        <w:t>L</w:t>
      </w:r>
      <w:r w:rsidR="00611610" w:rsidRPr="002575C6">
        <w:rPr>
          <w:b/>
        </w:rPr>
        <w:t xml:space="preserve">a commune de … </w:t>
      </w:r>
      <w:r w:rsidR="00645DAC" w:rsidRPr="002575C6">
        <w:rPr>
          <w:b/>
        </w:rPr>
        <w:t>ou l’inte</w:t>
      </w:r>
      <w:r w:rsidR="00611610" w:rsidRPr="002575C6">
        <w:rPr>
          <w:b/>
        </w:rPr>
        <w:t>rcommunalité de …</w:t>
      </w:r>
      <w:r w:rsidR="0027417A" w:rsidRPr="002575C6">
        <w:rPr>
          <w:b/>
        </w:rPr>
        <w:t xml:space="preserve"> soutient </w:t>
      </w:r>
      <w:r w:rsidR="00FC4245" w:rsidRPr="002575C6">
        <w:rPr>
          <w:b/>
        </w:rPr>
        <w:t>les</w:t>
      </w:r>
      <w:r w:rsidR="00DE4A70">
        <w:rPr>
          <w:b/>
        </w:rPr>
        <w:t xml:space="preserve"> </w:t>
      </w:r>
      <w:r w:rsidR="00645DAC" w:rsidRPr="002575C6">
        <w:rPr>
          <w:b/>
        </w:rPr>
        <w:t>positions de l</w:t>
      </w:r>
      <w:r w:rsidRPr="002575C6">
        <w:rPr>
          <w:b/>
        </w:rPr>
        <w:t>’A</w:t>
      </w:r>
      <w:r w:rsidR="00057424" w:rsidRPr="002575C6">
        <w:rPr>
          <w:b/>
        </w:rPr>
        <w:t xml:space="preserve">ssociation de </w:t>
      </w:r>
      <w:r w:rsidRPr="002575C6">
        <w:rPr>
          <w:b/>
        </w:rPr>
        <w:t>M</w:t>
      </w:r>
      <w:r w:rsidR="00057424" w:rsidRPr="002575C6">
        <w:rPr>
          <w:b/>
        </w:rPr>
        <w:t xml:space="preserve">aires de </w:t>
      </w:r>
      <w:r w:rsidR="00DE4A70">
        <w:rPr>
          <w:b/>
        </w:rPr>
        <w:t>France qui propose à l’Executif</w:t>
      </w:r>
      <w:r w:rsidRPr="002575C6">
        <w:rPr>
          <w:b/>
        </w:rPr>
        <w:t> :</w:t>
      </w:r>
    </w:p>
    <w:p w:rsidR="002C38D2" w:rsidRPr="005B7B76" w:rsidRDefault="002C38D2" w:rsidP="00DF2034">
      <w:pPr>
        <w:spacing w:line="240" w:lineRule="auto"/>
        <w:jc w:val="both"/>
        <w:rPr>
          <w:rFonts w:ascii="Arial" w:hAnsi="Arial" w:cs="Arial"/>
          <w:sz w:val="24"/>
          <w:szCs w:val="24"/>
        </w:rPr>
      </w:pPr>
    </w:p>
    <w:p w:rsidR="0048584F" w:rsidRPr="00F070FB" w:rsidRDefault="00DF2034" w:rsidP="0048584F">
      <w:pPr>
        <w:spacing w:line="240" w:lineRule="auto"/>
        <w:jc w:val="both"/>
        <w:rPr>
          <w:rFonts w:ascii="Arial" w:hAnsi="Arial" w:cs="Arial"/>
          <w:bCs/>
          <w:sz w:val="24"/>
          <w:szCs w:val="24"/>
        </w:rPr>
      </w:pPr>
      <w:r w:rsidRPr="00F070FB">
        <w:rPr>
          <w:rFonts w:ascii="Arial" w:hAnsi="Arial" w:cs="Arial"/>
          <w:sz w:val="24"/>
          <w:szCs w:val="24"/>
        </w:rPr>
        <w:t xml:space="preserve">- </w:t>
      </w:r>
      <w:r w:rsidR="0035512C" w:rsidRPr="00F070FB">
        <w:rPr>
          <w:rFonts w:ascii="Arial" w:hAnsi="Arial" w:cs="Arial"/>
          <w:b/>
          <w:sz w:val="24"/>
          <w:szCs w:val="24"/>
        </w:rPr>
        <w:t>d’indexer</w:t>
      </w:r>
      <w:r w:rsidR="00A87E25" w:rsidRPr="00F070FB">
        <w:rPr>
          <w:rFonts w:ascii="Arial" w:hAnsi="Arial" w:cs="Arial"/>
          <w:b/>
          <w:sz w:val="24"/>
          <w:szCs w:val="24"/>
        </w:rPr>
        <w:t xml:space="preserve"> la DGF sur l’inflation 2023</w:t>
      </w:r>
      <w:r w:rsidR="00A87E25" w:rsidRPr="00F070FB">
        <w:rPr>
          <w:rFonts w:ascii="Arial" w:hAnsi="Arial" w:cs="Arial"/>
          <w:sz w:val="24"/>
          <w:szCs w:val="24"/>
        </w:rPr>
        <w:t xml:space="preserve">, </w:t>
      </w:r>
      <w:r w:rsidR="0048584F" w:rsidRPr="00F070FB">
        <w:rPr>
          <w:rFonts w:ascii="Arial" w:hAnsi="Arial" w:cs="Arial"/>
          <w:sz w:val="24"/>
          <w:szCs w:val="24"/>
        </w:rPr>
        <w:t xml:space="preserve">afin d’éviter une nouvelle </w:t>
      </w:r>
      <w:r w:rsidR="00F070FB" w:rsidRPr="00F070FB">
        <w:rPr>
          <w:rFonts w:ascii="Arial" w:hAnsi="Arial" w:cs="Arial"/>
          <w:sz w:val="24"/>
          <w:szCs w:val="24"/>
        </w:rPr>
        <w:t>réduction des moyens financiers</w:t>
      </w:r>
      <w:r w:rsidR="0048584F" w:rsidRPr="00F070FB">
        <w:rPr>
          <w:rFonts w:ascii="Arial" w:hAnsi="Arial" w:cs="Arial"/>
          <w:sz w:val="24"/>
          <w:szCs w:val="24"/>
        </w:rPr>
        <w:t xml:space="preserve"> du bloc communal de près de 800 millions d’euros. </w:t>
      </w:r>
      <w:r w:rsidR="0048584F" w:rsidRPr="00F070FB">
        <w:rPr>
          <w:rFonts w:ascii="Arial" w:hAnsi="Arial" w:cs="Arial"/>
          <w:bCs/>
          <w:sz w:val="24"/>
          <w:szCs w:val="24"/>
        </w:rPr>
        <w:t>La revalorisation de la DGF est également indispensable pour engager une réforme globale de la DGF, visant notamment à réduire les écarts injustifiés de dotations.</w:t>
      </w:r>
    </w:p>
    <w:p w:rsidR="002C38D2" w:rsidRPr="005B7B76" w:rsidRDefault="002C38D2" w:rsidP="00DF2034">
      <w:pPr>
        <w:spacing w:line="240" w:lineRule="auto"/>
        <w:jc w:val="both"/>
        <w:rPr>
          <w:rFonts w:ascii="Arial" w:hAnsi="Arial" w:cs="Arial"/>
          <w:sz w:val="24"/>
          <w:szCs w:val="24"/>
        </w:rPr>
      </w:pPr>
    </w:p>
    <w:p w:rsidR="00661180" w:rsidRDefault="00AA7402" w:rsidP="00B80926">
      <w:pPr>
        <w:tabs>
          <w:tab w:val="left" w:pos="284"/>
        </w:tabs>
        <w:spacing w:after="0" w:line="240" w:lineRule="auto"/>
        <w:jc w:val="both"/>
        <w:rPr>
          <w:rFonts w:ascii="Arial" w:hAnsi="Arial" w:cs="Arial"/>
          <w:bCs/>
          <w:sz w:val="24"/>
          <w:szCs w:val="24"/>
        </w:rPr>
      </w:pPr>
      <w:r w:rsidRPr="005B7B76">
        <w:rPr>
          <w:rFonts w:ascii="Arial" w:hAnsi="Arial" w:cs="Arial"/>
          <w:bCs/>
          <w:sz w:val="24"/>
          <w:szCs w:val="24"/>
        </w:rPr>
        <w:t xml:space="preserve">- </w:t>
      </w:r>
      <w:r w:rsidRPr="006B06FF">
        <w:rPr>
          <w:rFonts w:ascii="Arial" w:hAnsi="Arial" w:cs="Arial"/>
          <w:b/>
          <w:bCs/>
          <w:sz w:val="24"/>
          <w:szCs w:val="24"/>
        </w:rPr>
        <w:t>de maintenir l’indexation des bases fiscales</w:t>
      </w:r>
      <w:r w:rsidRPr="005B7B76">
        <w:rPr>
          <w:rFonts w:ascii="Arial" w:hAnsi="Arial" w:cs="Arial"/>
          <w:bCs/>
          <w:sz w:val="24"/>
          <w:szCs w:val="24"/>
        </w:rPr>
        <w:t xml:space="preserve"> sur l’indice des prix à la consommation harmonisé (IPCH) de novembre 2022 (+6,8% estimés)</w:t>
      </w:r>
      <w:r w:rsidR="002C38D2">
        <w:rPr>
          <w:rFonts w:ascii="Arial" w:hAnsi="Arial" w:cs="Arial"/>
          <w:bCs/>
          <w:sz w:val="24"/>
          <w:szCs w:val="24"/>
        </w:rPr>
        <w:t>.</w:t>
      </w:r>
    </w:p>
    <w:p w:rsidR="002C38D2" w:rsidRPr="005B7B76" w:rsidRDefault="002C38D2" w:rsidP="00B80926">
      <w:pPr>
        <w:tabs>
          <w:tab w:val="left" w:pos="284"/>
        </w:tabs>
        <w:spacing w:after="0" w:line="240" w:lineRule="auto"/>
        <w:jc w:val="both"/>
        <w:rPr>
          <w:rFonts w:ascii="Arial" w:hAnsi="Arial" w:cs="Arial"/>
          <w:bCs/>
          <w:sz w:val="24"/>
          <w:szCs w:val="24"/>
        </w:rPr>
      </w:pPr>
    </w:p>
    <w:p w:rsidR="00AA7402" w:rsidRPr="005B7B76" w:rsidRDefault="00AA7402" w:rsidP="00B80926">
      <w:pPr>
        <w:tabs>
          <w:tab w:val="left" w:pos="284"/>
        </w:tabs>
        <w:spacing w:after="0" w:line="240" w:lineRule="auto"/>
        <w:jc w:val="both"/>
        <w:rPr>
          <w:rFonts w:ascii="Arial" w:hAnsi="Arial" w:cs="Arial"/>
          <w:sz w:val="24"/>
          <w:szCs w:val="24"/>
        </w:rPr>
      </w:pPr>
    </w:p>
    <w:p w:rsidR="006B06FF" w:rsidRDefault="00E16DFA" w:rsidP="009F556B">
      <w:pPr>
        <w:tabs>
          <w:tab w:val="left" w:pos="284"/>
        </w:tabs>
        <w:spacing w:after="0" w:line="240" w:lineRule="auto"/>
        <w:jc w:val="both"/>
        <w:rPr>
          <w:rFonts w:ascii="Arial" w:hAnsi="Arial" w:cs="Arial"/>
          <w:sz w:val="24"/>
          <w:szCs w:val="24"/>
        </w:rPr>
      </w:pPr>
      <w:r w:rsidRPr="005B7B76">
        <w:rPr>
          <w:rFonts w:ascii="Arial" w:hAnsi="Arial" w:cs="Arial"/>
          <w:sz w:val="24"/>
          <w:szCs w:val="24"/>
        </w:rPr>
        <w:t xml:space="preserve"> - </w:t>
      </w:r>
      <w:r w:rsidR="00DE4A70">
        <w:rPr>
          <w:rFonts w:ascii="Arial" w:hAnsi="Arial" w:cs="Arial"/>
          <w:b/>
          <w:bCs/>
          <w:sz w:val="24"/>
          <w:szCs w:val="24"/>
        </w:rPr>
        <w:t>soit de renoncer à la suppression de</w:t>
      </w:r>
      <w:r w:rsidR="0027417A" w:rsidRPr="006B06FF">
        <w:rPr>
          <w:rFonts w:ascii="Arial" w:hAnsi="Arial" w:cs="Arial"/>
          <w:b/>
          <w:bCs/>
          <w:sz w:val="24"/>
          <w:szCs w:val="24"/>
        </w:rPr>
        <w:t xml:space="preserve"> la CVAE</w:t>
      </w:r>
      <w:r w:rsidR="00DE4A70">
        <w:rPr>
          <w:rFonts w:ascii="Arial" w:hAnsi="Arial" w:cs="Arial"/>
          <w:b/>
          <w:bCs/>
          <w:sz w:val="24"/>
          <w:szCs w:val="24"/>
        </w:rPr>
        <w:t>, soit de revoir les modalités de sa suppression</w:t>
      </w:r>
      <w:r w:rsidR="0027417A" w:rsidRPr="005B7B76">
        <w:rPr>
          <w:rFonts w:ascii="Arial" w:hAnsi="Arial" w:cs="Arial"/>
          <w:bCs/>
          <w:sz w:val="24"/>
          <w:szCs w:val="24"/>
        </w:rPr>
        <w:t>. A</w:t>
      </w:r>
      <w:r w:rsidR="009F556B" w:rsidRPr="005B7B76">
        <w:rPr>
          <w:rFonts w:ascii="Arial" w:eastAsia="Calibri" w:hAnsi="Arial" w:cs="Arial"/>
          <w:bCs/>
          <w:sz w:val="24"/>
          <w:szCs w:val="24"/>
        </w:rPr>
        <w:t>doss</w:t>
      </w:r>
      <w:r w:rsidR="009F556B" w:rsidRPr="00DE4A70">
        <w:rPr>
          <w:rFonts w:ascii="Arial" w:eastAsia="Calibri" w:hAnsi="Arial" w:cs="Arial"/>
          <w:bCs/>
          <w:sz w:val="24"/>
          <w:szCs w:val="24"/>
        </w:rPr>
        <w:t>é</w:t>
      </w:r>
      <w:r w:rsidR="00DE4A70" w:rsidRPr="00DE4A70">
        <w:rPr>
          <w:rFonts w:ascii="Arial" w:eastAsia="Calibri" w:hAnsi="Arial" w:cs="Arial"/>
          <w:bCs/>
          <w:sz w:val="24"/>
          <w:szCs w:val="24"/>
        </w:rPr>
        <w:t>e</w:t>
      </w:r>
      <w:r w:rsidR="009F556B" w:rsidRPr="005B7B76">
        <w:rPr>
          <w:rFonts w:ascii="Arial" w:eastAsia="Calibri" w:hAnsi="Arial" w:cs="Arial"/>
          <w:bCs/>
          <w:sz w:val="24"/>
          <w:szCs w:val="24"/>
        </w:rPr>
        <w:t xml:space="preserve"> à la valeur ajoutée et déductible du bénéfice imposable à l’IS, </w:t>
      </w:r>
      <w:r w:rsidRPr="005B7B76">
        <w:rPr>
          <w:rFonts w:ascii="Arial" w:hAnsi="Arial" w:cs="Arial"/>
          <w:bCs/>
          <w:sz w:val="24"/>
          <w:szCs w:val="24"/>
        </w:rPr>
        <w:t>la CVAE n’est pas déconnectée des performances de l’entreprise</w:t>
      </w:r>
      <w:r w:rsidR="002C1232">
        <w:rPr>
          <w:rFonts w:ascii="Arial" w:hAnsi="Arial" w:cs="Arial"/>
          <w:bCs/>
          <w:sz w:val="24"/>
          <w:szCs w:val="24"/>
        </w:rPr>
        <w:t xml:space="preserve">, </w:t>
      </w:r>
      <w:r w:rsidR="002C1232" w:rsidRPr="00F070FB">
        <w:rPr>
          <w:rFonts w:ascii="Arial" w:hAnsi="Arial" w:cs="Arial"/>
          <w:bCs/>
          <w:sz w:val="24"/>
          <w:szCs w:val="24"/>
        </w:rPr>
        <w:t xml:space="preserve">elle </w:t>
      </w:r>
      <w:r w:rsidR="003952C1" w:rsidRPr="00F070FB">
        <w:rPr>
          <w:rFonts w:ascii="Arial" w:hAnsi="Arial" w:cs="Arial"/>
          <w:bCs/>
          <w:sz w:val="24"/>
          <w:szCs w:val="24"/>
        </w:rPr>
        <w:t>n’est pas un impôt de production</w:t>
      </w:r>
      <w:r w:rsidR="002C1232" w:rsidRPr="00F070FB">
        <w:rPr>
          <w:rFonts w:ascii="Arial" w:hAnsi="Arial" w:cs="Arial"/>
          <w:bCs/>
          <w:sz w:val="24"/>
          <w:szCs w:val="24"/>
        </w:rPr>
        <w:t xml:space="preserve"> </w:t>
      </w:r>
      <w:r w:rsidR="002C1232">
        <w:rPr>
          <w:rFonts w:ascii="Arial" w:hAnsi="Arial" w:cs="Arial"/>
          <w:bCs/>
          <w:sz w:val="24"/>
          <w:szCs w:val="24"/>
        </w:rPr>
        <w:t>mais</w:t>
      </w:r>
      <w:r w:rsidR="00D01569">
        <w:rPr>
          <w:rFonts w:ascii="Arial" w:hAnsi="Arial" w:cs="Arial"/>
          <w:sz w:val="24"/>
          <w:szCs w:val="24"/>
        </w:rPr>
        <w:t xml:space="preserve"> constitue un lien fiscal essentiel </w:t>
      </w:r>
      <w:r w:rsidRPr="005B7B76">
        <w:rPr>
          <w:rFonts w:ascii="Arial" w:hAnsi="Arial" w:cs="Arial"/>
          <w:sz w:val="24"/>
          <w:szCs w:val="24"/>
        </w:rPr>
        <w:t>entre les entreprises et leur territoire d’implantation.</w:t>
      </w:r>
    </w:p>
    <w:p w:rsidR="009F556B" w:rsidRPr="005B7B76" w:rsidRDefault="006B06FF" w:rsidP="009F556B">
      <w:pPr>
        <w:tabs>
          <w:tab w:val="left" w:pos="284"/>
        </w:tabs>
        <w:spacing w:after="0" w:line="240" w:lineRule="auto"/>
        <w:jc w:val="both"/>
        <w:rPr>
          <w:rFonts w:ascii="Arial" w:hAnsi="Arial" w:cs="Arial"/>
          <w:bCs/>
          <w:sz w:val="24"/>
          <w:szCs w:val="24"/>
        </w:rPr>
      </w:pPr>
      <w:r>
        <w:rPr>
          <w:rFonts w:ascii="Arial" w:hAnsi="Arial" w:cs="Arial"/>
          <w:bCs/>
          <w:sz w:val="24"/>
          <w:szCs w:val="24"/>
        </w:rPr>
        <w:t>Les</w:t>
      </w:r>
      <w:r w:rsidR="009F556B" w:rsidRPr="005B7B76">
        <w:rPr>
          <w:rFonts w:ascii="Arial" w:hAnsi="Arial" w:cs="Arial"/>
          <w:bCs/>
          <w:sz w:val="24"/>
          <w:szCs w:val="24"/>
        </w:rPr>
        <w:t xml:space="preserve"> collectivités ne sont pas responsables du niveau élevé des prélèvements obligatoires, la fiscalité locale ne représentant que 6,5% du PIB sur un total de 44,3%.</w:t>
      </w:r>
    </w:p>
    <w:p w:rsidR="006B06FF" w:rsidRDefault="006B06FF" w:rsidP="00645DAC">
      <w:pPr>
        <w:tabs>
          <w:tab w:val="left" w:pos="284"/>
        </w:tabs>
        <w:spacing w:after="0" w:line="240" w:lineRule="auto"/>
        <w:jc w:val="both"/>
        <w:rPr>
          <w:rFonts w:ascii="Arial" w:hAnsi="Arial" w:cs="Arial"/>
          <w:sz w:val="24"/>
          <w:szCs w:val="24"/>
        </w:rPr>
      </w:pPr>
    </w:p>
    <w:p w:rsidR="00645DAC" w:rsidRDefault="00E16DFA" w:rsidP="00645DAC">
      <w:pPr>
        <w:tabs>
          <w:tab w:val="left" w:pos="284"/>
        </w:tabs>
        <w:spacing w:after="0" w:line="240" w:lineRule="auto"/>
        <w:jc w:val="both"/>
        <w:rPr>
          <w:rFonts w:ascii="Arial" w:eastAsia="Calibri" w:hAnsi="Arial" w:cs="Arial"/>
          <w:bCs/>
          <w:color w:val="00B050"/>
          <w:sz w:val="24"/>
          <w:szCs w:val="24"/>
        </w:rPr>
      </w:pPr>
      <w:r w:rsidRPr="005B7B76">
        <w:rPr>
          <w:rFonts w:ascii="Arial" w:hAnsi="Arial" w:cs="Arial"/>
          <w:sz w:val="24"/>
          <w:szCs w:val="24"/>
        </w:rPr>
        <w:t xml:space="preserve">Si la suppression de la CVAE devait aboutir, il serait alors indispensable de </w:t>
      </w:r>
      <w:r w:rsidR="006B06FF">
        <w:rPr>
          <w:rFonts w:ascii="Arial" w:hAnsi="Arial" w:cs="Arial"/>
          <w:sz w:val="24"/>
          <w:szCs w:val="24"/>
        </w:rPr>
        <w:t>la remplacer</w:t>
      </w:r>
      <w:r w:rsidRPr="005B7B76">
        <w:rPr>
          <w:rFonts w:ascii="Arial" w:hAnsi="Arial" w:cs="Arial"/>
          <w:sz w:val="24"/>
          <w:szCs w:val="24"/>
        </w:rPr>
        <w:t xml:space="preserve"> par une contribution locale, sur laquelle les collectivités garderaient le pouvoir de taux et/ou d’assiette. Dans l’attente d’un dispositif élaboré avec les associ</w:t>
      </w:r>
      <w:r w:rsidR="00611610" w:rsidRPr="005B7B76">
        <w:rPr>
          <w:rFonts w:ascii="Arial" w:hAnsi="Arial" w:cs="Arial"/>
          <w:sz w:val="24"/>
          <w:szCs w:val="24"/>
        </w:rPr>
        <w:t>ations d’élus, la commune de … ou l’intercommunalité de …</w:t>
      </w:r>
      <w:r w:rsidRPr="005B7B76">
        <w:rPr>
          <w:rFonts w:ascii="Arial" w:hAnsi="Arial" w:cs="Arial"/>
          <w:sz w:val="24"/>
          <w:szCs w:val="24"/>
        </w:rPr>
        <w:t> demande un dégrèvement permettant une compensation intégrale</w:t>
      </w:r>
      <w:r w:rsidR="00645DAC" w:rsidRPr="005B7B76">
        <w:rPr>
          <w:rFonts w:ascii="Arial" w:eastAsia="Calibri" w:hAnsi="Arial" w:cs="Arial"/>
          <w:bCs/>
          <w:color w:val="00B050"/>
          <w:sz w:val="24"/>
          <w:szCs w:val="24"/>
        </w:rPr>
        <w:t>.</w:t>
      </w:r>
    </w:p>
    <w:p w:rsidR="002C38D2" w:rsidRPr="005B7B76" w:rsidRDefault="002C38D2" w:rsidP="00645DAC">
      <w:pPr>
        <w:tabs>
          <w:tab w:val="left" w:pos="284"/>
        </w:tabs>
        <w:spacing w:after="0" w:line="240" w:lineRule="auto"/>
        <w:jc w:val="both"/>
        <w:rPr>
          <w:rFonts w:ascii="Arial" w:hAnsi="Arial" w:cs="Arial"/>
          <w:bCs/>
          <w:sz w:val="24"/>
          <w:szCs w:val="24"/>
        </w:rPr>
      </w:pPr>
    </w:p>
    <w:p w:rsidR="009F556B" w:rsidRPr="005B7B76" w:rsidRDefault="009F556B" w:rsidP="008E0E7B">
      <w:pPr>
        <w:tabs>
          <w:tab w:val="left" w:pos="284"/>
        </w:tabs>
        <w:spacing w:after="0" w:line="240" w:lineRule="auto"/>
        <w:jc w:val="both"/>
        <w:rPr>
          <w:rFonts w:ascii="Arial" w:eastAsia="Calibri" w:hAnsi="Arial" w:cs="Arial"/>
          <w:bCs/>
          <w:sz w:val="24"/>
          <w:szCs w:val="24"/>
        </w:rPr>
      </w:pPr>
    </w:p>
    <w:p w:rsidR="009F556B" w:rsidRDefault="00163103" w:rsidP="00163103">
      <w:pPr>
        <w:tabs>
          <w:tab w:val="left" w:pos="284"/>
        </w:tabs>
        <w:spacing w:after="0" w:line="240" w:lineRule="auto"/>
        <w:jc w:val="both"/>
        <w:rPr>
          <w:rFonts w:ascii="Arial" w:hAnsi="Arial" w:cs="Arial"/>
          <w:sz w:val="24"/>
          <w:szCs w:val="24"/>
        </w:rPr>
      </w:pPr>
      <w:r w:rsidRPr="005B7B76">
        <w:rPr>
          <w:rFonts w:ascii="Arial" w:eastAsia="Calibri" w:hAnsi="Arial" w:cs="Arial"/>
          <w:bCs/>
          <w:sz w:val="24"/>
          <w:szCs w:val="24"/>
        </w:rPr>
        <w:t xml:space="preserve">- </w:t>
      </w:r>
      <w:r w:rsidR="006B06FF">
        <w:rPr>
          <w:rFonts w:ascii="Arial" w:hAnsi="Arial" w:cs="Arial"/>
          <w:b/>
          <w:sz w:val="24"/>
          <w:szCs w:val="24"/>
        </w:rPr>
        <w:t>de renoncer à tout dispositif punitif</w:t>
      </w:r>
      <w:r w:rsidRPr="006B06FF">
        <w:rPr>
          <w:rFonts w:ascii="Arial" w:hAnsi="Arial" w:cs="Arial"/>
          <w:b/>
          <w:sz w:val="24"/>
          <w:szCs w:val="24"/>
        </w:rPr>
        <w:t xml:space="preserve"> d’encadrement</w:t>
      </w:r>
      <w:r w:rsidRPr="005B7B76">
        <w:rPr>
          <w:rFonts w:ascii="Arial" w:hAnsi="Arial" w:cs="Arial"/>
          <w:sz w:val="24"/>
          <w:szCs w:val="24"/>
        </w:rPr>
        <w:t xml:space="preserve"> </w:t>
      </w:r>
      <w:r w:rsidR="00F61CBF" w:rsidRPr="005B7B76">
        <w:rPr>
          <w:rFonts w:ascii="Arial" w:hAnsi="Arial" w:cs="Arial"/>
          <w:sz w:val="24"/>
          <w:szCs w:val="24"/>
        </w:rPr>
        <w:t>de l’action</w:t>
      </w:r>
      <w:r w:rsidRPr="005B7B76">
        <w:rPr>
          <w:rFonts w:ascii="Arial" w:hAnsi="Arial" w:cs="Arial"/>
          <w:sz w:val="24"/>
          <w:szCs w:val="24"/>
        </w:rPr>
        <w:t xml:space="preserve"> </w:t>
      </w:r>
      <w:r w:rsidR="00F61CBF" w:rsidRPr="005B7B76">
        <w:rPr>
          <w:rFonts w:ascii="Arial" w:hAnsi="Arial" w:cs="Arial"/>
          <w:sz w:val="24"/>
          <w:szCs w:val="24"/>
        </w:rPr>
        <w:t>locale</w:t>
      </w:r>
      <w:r w:rsidRPr="005B7B76">
        <w:rPr>
          <w:rFonts w:ascii="Arial" w:hAnsi="Arial" w:cs="Arial"/>
          <w:sz w:val="24"/>
          <w:szCs w:val="24"/>
        </w:rPr>
        <w:t xml:space="preserve">. Les </w:t>
      </w:r>
      <w:r w:rsidR="001C4295" w:rsidRPr="005B7B76">
        <w:rPr>
          <w:rFonts w:ascii="Arial" w:hAnsi="Arial" w:cs="Arial"/>
          <w:sz w:val="24"/>
          <w:szCs w:val="24"/>
        </w:rPr>
        <w:t>15</w:t>
      </w:r>
      <w:r w:rsidRPr="005B7B76">
        <w:rPr>
          <w:rFonts w:ascii="Arial" w:hAnsi="Arial" w:cs="Arial"/>
          <w:sz w:val="24"/>
          <w:szCs w:val="24"/>
        </w:rPr>
        <w:t xml:space="preserve"> Md€ de restrictions </w:t>
      </w:r>
      <w:r w:rsidR="00DF2034" w:rsidRPr="005B7B76">
        <w:rPr>
          <w:rFonts w:ascii="Arial" w:hAnsi="Arial" w:cs="Arial"/>
          <w:sz w:val="24"/>
          <w:szCs w:val="24"/>
        </w:rPr>
        <w:t xml:space="preserve">de dépenses </w:t>
      </w:r>
      <w:r w:rsidRPr="005B7B76">
        <w:rPr>
          <w:rFonts w:ascii="Arial" w:hAnsi="Arial" w:cs="Arial"/>
          <w:sz w:val="24"/>
          <w:szCs w:val="24"/>
        </w:rPr>
        <w:t xml:space="preserve">imposés aux collectivités locales </w:t>
      </w:r>
      <w:r w:rsidR="006B06FF">
        <w:rPr>
          <w:rFonts w:ascii="Arial" w:hAnsi="Arial" w:cs="Arial"/>
          <w:sz w:val="24"/>
          <w:szCs w:val="24"/>
        </w:rPr>
        <w:t xml:space="preserve">d’ici 2027 </w:t>
      </w:r>
      <w:r w:rsidRPr="005B7B76">
        <w:rPr>
          <w:rFonts w:ascii="Arial" w:hAnsi="Arial" w:cs="Arial"/>
          <w:sz w:val="24"/>
          <w:szCs w:val="24"/>
        </w:rPr>
        <w:t xml:space="preserve">sont en réalité des restrictions imposées à la population car c’est autant de moins pour financer l’offre de services. </w:t>
      </w:r>
    </w:p>
    <w:p w:rsidR="002C38D2" w:rsidRPr="005B7B76" w:rsidRDefault="002C38D2" w:rsidP="00163103">
      <w:pPr>
        <w:tabs>
          <w:tab w:val="left" w:pos="284"/>
        </w:tabs>
        <w:spacing w:after="0" w:line="240" w:lineRule="auto"/>
        <w:jc w:val="both"/>
        <w:rPr>
          <w:rFonts w:ascii="Arial" w:hAnsi="Arial" w:cs="Arial"/>
          <w:sz w:val="24"/>
          <w:szCs w:val="24"/>
        </w:rPr>
      </w:pPr>
    </w:p>
    <w:p w:rsidR="005B7B76" w:rsidRPr="005B7B76" w:rsidRDefault="005B7B76" w:rsidP="00163103">
      <w:pPr>
        <w:tabs>
          <w:tab w:val="left" w:pos="284"/>
        </w:tabs>
        <w:spacing w:after="0" w:line="240" w:lineRule="auto"/>
        <w:jc w:val="both"/>
        <w:rPr>
          <w:rFonts w:ascii="Arial" w:hAnsi="Arial" w:cs="Arial"/>
          <w:sz w:val="24"/>
          <w:szCs w:val="24"/>
        </w:rPr>
      </w:pPr>
    </w:p>
    <w:p w:rsidR="008E0E7B" w:rsidRDefault="00661180" w:rsidP="00E41CA3">
      <w:pPr>
        <w:spacing w:line="240" w:lineRule="auto"/>
        <w:jc w:val="both"/>
        <w:rPr>
          <w:rFonts w:ascii="Arial" w:eastAsia="Calibri" w:hAnsi="Arial" w:cs="Arial"/>
          <w:bCs/>
          <w:sz w:val="24"/>
          <w:szCs w:val="24"/>
        </w:rPr>
      </w:pPr>
      <w:r w:rsidRPr="005B7B76">
        <w:rPr>
          <w:rFonts w:ascii="Arial" w:eastAsia="Calibri" w:hAnsi="Arial" w:cs="Arial"/>
          <w:bCs/>
          <w:sz w:val="24"/>
          <w:szCs w:val="24"/>
        </w:rPr>
        <w:lastRenderedPageBreak/>
        <w:t xml:space="preserve">- </w:t>
      </w:r>
      <w:r w:rsidRPr="006B06FF">
        <w:rPr>
          <w:rFonts w:ascii="Arial" w:eastAsia="Calibri" w:hAnsi="Arial" w:cs="Arial"/>
          <w:b/>
          <w:bCs/>
          <w:sz w:val="24"/>
          <w:szCs w:val="24"/>
        </w:rPr>
        <w:t>de réintégrer l</w:t>
      </w:r>
      <w:r w:rsidR="00381E3A" w:rsidRPr="006B06FF">
        <w:rPr>
          <w:rFonts w:ascii="Arial" w:eastAsia="Calibri" w:hAnsi="Arial" w:cs="Arial"/>
          <w:b/>
          <w:bCs/>
          <w:sz w:val="24"/>
          <w:szCs w:val="24"/>
        </w:rPr>
        <w:t>es opérations d’aménagement, d’agencement et d’acquisition de te</w:t>
      </w:r>
      <w:r w:rsidRPr="006B06FF">
        <w:rPr>
          <w:rFonts w:ascii="Arial" w:eastAsia="Calibri" w:hAnsi="Arial" w:cs="Arial"/>
          <w:b/>
          <w:bCs/>
          <w:sz w:val="24"/>
          <w:szCs w:val="24"/>
        </w:rPr>
        <w:t>rrains dans l’assiette du FCTVA</w:t>
      </w:r>
      <w:r w:rsidRPr="005B7B76">
        <w:rPr>
          <w:rFonts w:ascii="Arial" w:eastAsia="Calibri" w:hAnsi="Arial" w:cs="Arial"/>
          <w:bCs/>
          <w:sz w:val="24"/>
          <w:szCs w:val="24"/>
        </w:rPr>
        <w:t>. Cette réintégration doit être opérée en urgence pour permettre notamment aux collectivités locales frappées par les incendies d’avoir de nouveau accès au FCTVA pour l’aménagement des terrains concern</w:t>
      </w:r>
      <w:r w:rsidR="002C38D2">
        <w:rPr>
          <w:rFonts w:ascii="Arial" w:eastAsia="Calibri" w:hAnsi="Arial" w:cs="Arial"/>
          <w:bCs/>
          <w:sz w:val="24"/>
          <w:szCs w:val="24"/>
        </w:rPr>
        <w:t>és.</w:t>
      </w:r>
    </w:p>
    <w:p w:rsidR="002C38D2" w:rsidRPr="005B7B76" w:rsidRDefault="002C38D2" w:rsidP="00E41CA3">
      <w:pPr>
        <w:spacing w:line="240" w:lineRule="auto"/>
        <w:jc w:val="both"/>
        <w:rPr>
          <w:rFonts w:ascii="Arial" w:eastAsia="Calibri" w:hAnsi="Arial" w:cs="Arial"/>
          <w:bCs/>
          <w:sz w:val="24"/>
          <w:szCs w:val="24"/>
        </w:rPr>
      </w:pPr>
    </w:p>
    <w:p w:rsidR="003952C1" w:rsidRPr="00F070FB" w:rsidRDefault="00111632" w:rsidP="003952C1">
      <w:pPr>
        <w:tabs>
          <w:tab w:val="left" w:pos="284"/>
        </w:tabs>
        <w:spacing w:line="240" w:lineRule="auto"/>
        <w:jc w:val="both"/>
        <w:rPr>
          <w:rFonts w:ascii="Arial" w:hAnsi="Arial" w:cs="Arial"/>
          <w:sz w:val="24"/>
          <w:szCs w:val="24"/>
        </w:rPr>
      </w:pPr>
      <w:r w:rsidRPr="00F070FB">
        <w:rPr>
          <w:rFonts w:ascii="Arial" w:hAnsi="Arial" w:cs="Arial"/>
          <w:sz w:val="24"/>
          <w:szCs w:val="24"/>
        </w:rPr>
        <w:t xml:space="preserve">- </w:t>
      </w:r>
      <w:r w:rsidR="00F61CBF" w:rsidRPr="00F070FB">
        <w:rPr>
          <w:rFonts w:ascii="Arial" w:hAnsi="Arial" w:cs="Arial"/>
          <w:b/>
          <w:sz w:val="24"/>
          <w:szCs w:val="24"/>
        </w:rPr>
        <w:t>de rénover l</w:t>
      </w:r>
      <w:r w:rsidRPr="00F070FB">
        <w:rPr>
          <w:rFonts w:ascii="Arial" w:hAnsi="Arial" w:cs="Arial"/>
          <w:b/>
          <w:sz w:val="24"/>
          <w:szCs w:val="24"/>
        </w:rPr>
        <w:t>es procédures d’attribution de la DETR et de la DSIL</w:t>
      </w:r>
      <w:r w:rsidRPr="00F070FB">
        <w:rPr>
          <w:rFonts w:ascii="Arial" w:hAnsi="Arial" w:cs="Arial"/>
          <w:sz w:val="24"/>
          <w:szCs w:val="24"/>
        </w:rPr>
        <w:t xml:space="preserve"> pour permettre une consommation des crédits votés en lois de finances</w:t>
      </w:r>
      <w:r w:rsidR="00334E13" w:rsidRPr="00F070FB">
        <w:rPr>
          <w:rFonts w:ascii="Arial" w:hAnsi="Arial" w:cs="Arial"/>
          <w:sz w:val="24"/>
          <w:szCs w:val="24"/>
        </w:rPr>
        <w:t>. E</w:t>
      </w:r>
      <w:r w:rsidRPr="00F070FB">
        <w:rPr>
          <w:rFonts w:ascii="Arial" w:hAnsi="Arial" w:cs="Arial"/>
          <w:sz w:val="24"/>
          <w:szCs w:val="24"/>
        </w:rPr>
        <w:t xml:space="preserve">n particulier, </w:t>
      </w:r>
      <w:r w:rsidR="00E672EF" w:rsidRPr="00F070FB">
        <w:rPr>
          <w:rFonts w:ascii="Arial" w:hAnsi="Arial" w:cs="Arial"/>
          <w:sz w:val="24"/>
          <w:szCs w:val="24"/>
        </w:rPr>
        <w:t>la commune d</w:t>
      </w:r>
      <w:r w:rsidR="00611610" w:rsidRPr="00F070FB">
        <w:rPr>
          <w:rFonts w:ascii="Arial" w:hAnsi="Arial" w:cs="Arial"/>
          <w:sz w:val="24"/>
          <w:szCs w:val="24"/>
        </w:rPr>
        <w:t>e … ou l’intercommunalité de …</w:t>
      </w:r>
      <w:r w:rsidR="00E672EF" w:rsidRPr="00F070FB">
        <w:rPr>
          <w:rFonts w:ascii="Arial" w:hAnsi="Arial" w:cs="Arial"/>
          <w:sz w:val="24"/>
          <w:szCs w:val="24"/>
        </w:rPr>
        <w:t> </w:t>
      </w:r>
      <w:r w:rsidRPr="00F070FB">
        <w:rPr>
          <w:rFonts w:ascii="Arial" w:hAnsi="Arial" w:cs="Arial"/>
          <w:sz w:val="24"/>
          <w:szCs w:val="24"/>
        </w:rPr>
        <w:t xml:space="preserve">demande </w:t>
      </w:r>
      <w:r w:rsidR="00402FE2" w:rsidRPr="00F070FB">
        <w:rPr>
          <w:rFonts w:ascii="Arial" w:hAnsi="Arial" w:cs="Arial"/>
          <w:sz w:val="24"/>
          <w:szCs w:val="24"/>
        </w:rPr>
        <w:t xml:space="preserve">la suppression des appels à projets, et, pour l’attribution de la </w:t>
      </w:r>
      <w:r w:rsidR="00334E13" w:rsidRPr="00F070FB">
        <w:rPr>
          <w:rFonts w:ascii="Arial" w:hAnsi="Arial" w:cs="Arial"/>
          <w:sz w:val="24"/>
          <w:szCs w:val="24"/>
        </w:rPr>
        <w:t>DSIL,</w:t>
      </w:r>
      <w:r w:rsidR="00402FE2" w:rsidRPr="00F070FB">
        <w:rPr>
          <w:rFonts w:ascii="Arial" w:hAnsi="Arial" w:cs="Arial"/>
          <w:sz w:val="24"/>
          <w:szCs w:val="24"/>
        </w:rPr>
        <w:t xml:space="preserve"> </w:t>
      </w:r>
      <w:r w:rsidR="00754920" w:rsidRPr="00F070FB">
        <w:rPr>
          <w:rFonts w:ascii="Arial" w:hAnsi="Arial" w:cs="Arial"/>
          <w:sz w:val="24"/>
          <w:szCs w:val="24"/>
        </w:rPr>
        <w:t>l’instauration d’une c</w:t>
      </w:r>
      <w:r w:rsidR="006B06FF" w:rsidRPr="00F070FB">
        <w:rPr>
          <w:rFonts w:ascii="Arial" w:hAnsi="Arial" w:cs="Arial"/>
          <w:sz w:val="24"/>
          <w:szCs w:val="24"/>
        </w:rPr>
        <w:t>ommission d’élus et</w:t>
      </w:r>
      <w:r w:rsidR="00266EA0" w:rsidRPr="00F070FB">
        <w:rPr>
          <w:rFonts w:ascii="Arial" w:hAnsi="Arial" w:cs="Arial"/>
          <w:sz w:val="24"/>
          <w:szCs w:val="24"/>
        </w:rPr>
        <w:t xml:space="preserve"> la transmission des pouvoirs du préfet de région au</w:t>
      </w:r>
      <w:r w:rsidR="00E672EF" w:rsidRPr="00F070FB">
        <w:rPr>
          <w:rFonts w:ascii="Arial" w:hAnsi="Arial" w:cs="Arial"/>
          <w:sz w:val="24"/>
          <w:szCs w:val="24"/>
        </w:rPr>
        <w:t xml:space="preserve"> préfet de département. </w:t>
      </w:r>
      <w:r w:rsidR="003952C1" w:rsidRPr="00F070FB">
        <w:rPr>
          <w:rFonts w:ascii="Arial" w:hAnsi="Arial" w:cs="Arial"/>
          <w:sz w:val="24"/>
          <w:szCs w:val="24"/>
        </w:rPr>
        <w:t>Cette même logique doit prévaloir pour l’attribution du « fonds vert ».</w:t>
      </w:r>
    </w:p>
    <w:p w:rsidR="005B7B76" w:rsidRPr="005B7B76" w:rsidRDefault="005B7B76" w:rsidP="00F61CBF">
      <w:pPr>
        <w:tabs>
          <w:tab w:val="left" w:pos="284"/>
        </w:tabs>
        <w:spacing w:line="240" w:lineRule="auto"/>
        <w:jc w:val="both"/>
        <w:rPr>
          <w:rFonts w:ascii="Arial" w:hAnsi="Arial" w:cs="Arial"/>
          <w:sz w:val="24"/>
          <w:szCs w:val="24"/>
        </w:rPr>
      </w:pPr>
    </w:p>
    <w:p w:rsidR="00933017" w:rsidRDefault="0048584F" w:rsidP="0048584F">
      <w:pPr>
        <w:tabs>
          <w:tab w:val="left" w:pos="284"/>
        </w:tabs>
        <w:spacing w:line="240" w:lineRule="auto"/>
        <w:jc w:val="both"/>
        <w:rPr>
          <w:rFonts w:ascii="Arial" w:hAnsi="Arial" w:cs="Arial"/>
          <w:sz w:val="24"/>
          <w:szCs w:val="24"/>
        </w:rPr>
      </w:pPr>
      <w:r w:rsidRPr="00F070FB">
        <w:rPr>
          <w:rFonts w:ascii="Arial" w:hAnsi="Arial" w:cs="Arial"/>
          <w:sz w:val="24"/>
          <w:szCs w:val="24"/>
        </w:rPr>
        <w:t xml:space="preserve">La commune de … ou l’intercommunalité de … demande que la date limite de candidature pour la DETR et pour la DSIL intervienne après le vote du budget primitif concerné. Cette évolution permettrait de donner plus de temps aux échanges avec les services de l'État et d’appréhender l’ensemble des projets éligibles. </w:t>
      </w:r>
    </w:p>
    <w:p w:rsidR="0048584F" w:rsidRPr="00F070FB" w:rsidRDefault="0048584F" w:rsidP="0048584F">
      <w:pPr>
        <w:tabs>
          <w:tab w:val="left" w:pos="284"/>
        </w:tabs>
        <w:spacing w:line="240" w:lineRule="auto"/>
        <w:jc w:val="both"/>
        <w:rPr>
          <w:rFonts w:ascii="Arial" w:hAnsi="Arial" w:cs="Arial"/>
          <w:sz w:val="24"/>
          <w:szCs w:val="24"/>
        </w:rPr>
      </w:pPr>
      <w:r w:rsidRPr="00F070FB">
        <w:rPr>
          <w:rFonts w:ascii="Arial" w:hAnsi="Arial" w:cs="Arial"/>
          <w:sz w:val="24"/>
          <w:szCs w:val="24"/>
        </w:rPr>
        <w:t xml:space="preserve">Enfin, </w:t>
      </w:r>
      <w:r w:rsidR="00933017">
        <w:rPr>
          <w:rFonts w:ascii="Arial" w:hAnsi="Arial" w:cs="Arial"/>
          <w:sz w:val="24"/>
          <w:szCs w:val="24"/>
        </w:rPr>
        <w:t xml:space="preserve">dans un souci de simplification, </w:t>
      </w:r>
      <w:r w:rsidRPr="00F070FB">
        <w:rPr>
          <w:rFonts w:ascii="Arial" w:hAnsi="Arial" w:cs="Arial"/>
          <w:sz w:val="24"/>
          <w:szCs w:val="24"/>
        </w:rPr>
        <w:t xml:space="preserve">lorsque le cumul des deux dotations est possible, </w:t>
      </w:r>
      <w:r w:rsidR="00933017">
        <w:rPr>
          <w:rFonts w:ascii="Arial" w:hAnsi="Arial" w:cs="Arial"/>
          <w:sz w:val="24"/>
          <w:szCs w:val="24"/>
        </w:rPr>
        <w:t>il faut que le même dossier puisse servir à l’instruction de l’attribution des deux dotations</w:t>
      </w:r>
      <w:r w:rsidRPr="00F070FB">
        <w:rPr>
          <w:rFonts w:ascii="Arial" w:hAnsi="Arial" w:cs="Arial"/>
          <w:sz w:val="24"/>
          <w:szCs w:val="24"/>
        </w:rPr>
        <w:t>.</w:t>
      </w:r>
    </w:p>
    <w:p w:rsidR="002C38D2" w:rsidRPr="005B7B76" w:rsidRDefault="002C38D2" w:rsidP="00F61CBF">
      <w:pPr>
        <w:tabs>
          <w:tab w:val="left" w:pos="284"/>
        </w:tabs>
        <w:spacing w:line="240" w:lineRule="auto"/>
        <w:jc w:val="both"/>
        <w:rPr>
          <w:rFonts w:ascii="Arial" w:hAnsi="Arial" w:cs="Arial"/>
          <w:bCs/>
          <w:sz w:val="24"/>
          <w:szCs w:val="24"/>
        </w:rPr>
      </w:pPr>
    </w:p>
    <w:p w:rsidR="006B06FF" w:rsidRDefault="006B06FF" w:rsidP="00D42751">
      <w:pPr>
        <w:spacing w:after="0" w:line="240" w:lineRule="auto"/>
        <w:jc w:val="both"/>
        <w:rPr>
          <w:rFonts w:ascii="Arial" w:hAnsi="Arial" w:cs="Arial"/>
          <w:bCs/>
          <w:sz w:val="24"/>
          <w:szCs w:val="24"/>
        </w:rPr>
      </w:pPr>
    </w:p>
    <w:p w:rsidR="006B06FF" w:rsidRPr="00F070FB" w:rsidRDefault="006B06FF" w:rsidP="00F070FB">
      <w:pPr>
        <w:pStyle w:val="Titre1"/>
        <w:jc w:val="center"/>
        <w:rPr>
          <w:b/>
        </w:rPr>
      </w:pPr>
      <w:r w:rsidRPr="00F070FB">
        <w:rPr>
          <w:b/>
        </w:rPr>
        <w:t xml:space="preserve">Concernant la crise énergétique, la Commune /Intercommunalité de…. </w:t>
      </w:r>
      <w:r w:rsidR="00057424" w:rsidRPr="00F070FB">
        <w:rPr>
          <w:b/>
        </w:rPr>
        <w:t xml:space="preserve"> </w:t>
      </w:r>
      <w:r w:rsidRPr="00F070FB">
        <w:rPr>
          <w:b/>
        </w:rPr>
        <w:t>soutient les propositions faites auprès de la P</w:t>
      </w:r>
      <w:r w:rsidR="0006681B" w:rsidRPr="00F070FB">
        <w:rPr>
          <w:b/>
        </w:rPr>
        <w:t>remière ministre par l’ensemble</w:t>
      </w:r>
      <w:r w:rsidRPr="00F070FB">
        <w:rPr>
          <w:b/>
        </w:rPr>
        <w:t xml:space="preserve"> des associations d’élus</w:t>
      </w:r>
      <w:r w:rsidR="0006681B" w:rsidRPr="00F070FB">
        <w:rPr>
          <w:b/>
        </w:rPr>
        <w:t xml:space="preserve"> de </w:t>
      </w:r>
      <w:r w:rsidRPr="00F070FB">
        <w:rPr>
          <w:b/>
        </w:rPr>
        <w:t>:</w:t>
      </w:r>
    </w:p>
    <w:p w:rsidR="006B06FF" w:rsidRDefault="006B06FF" w:rsidP="00D42751">
      <w:pPr>
        <w:spacing w:after="0" w:line="240" w:lineRule="auto"/>
        <w:jc w:val="both"/>
        <w:rPr>
          <w:rFonts w:ascii="Arial" w:hAnsi="Arial" w:cs="Arial"/>
          <w:b/>
          <w:bCs/>
          <w:sz w:val="24"/>
          <w:szCs w:val="24"/>
        </w:rPr>
      </w:pPr>
    </w:p>
    <w:p w:rsidR="006B06FF" w:rsidRPr="00057424" w:rsidRDefault="002C38D2" w:rsidP="00057424">
      <w:pPr>
        <w:pStyle w:val="Paragraphedeliste"/>
        <w:numPr>
          <w:ilvl w:val="0"/>
          <w:numId w:val="6"/>
        </w:numPr>
        <w:spacing w:after="0" w:line="240" w:lineRule="auto"/>
        <w:jc w:val="both"/>
        <w:rPr>
          <w:rFonts w:ascii="Arial" w:hAnsi="Arial" w:cs="Arial"/>
          <w:bCs/>
          <w:sz w:val="24"/>
          <w:szCs w:val="24"/>
        </w:rPr>
      </w:pPr>
      <w:r w:rsidRPr="00057424">
        <w:rPr>
          <w:rFonts w:ascii="Arial" w:hAnsi="Arial" w:cs="Arial"/>
          <w:b/>
          <w:bCs/>
          <w:sz w:val="24"/>
          <w:szCs w:val="24"/>
        </w:rPr>
        <w:t>Créer un</w:t>
      </w:r>
      <w:r w:rsidR="0006681B" w:rsidRPr="00057424">
        <w:rPr>
          <w:rFonts w:ascii="Arial" w:hAnsi="Arial" w:cs="Arial"/>
          <w:b/>
          <w:bCs/>
          <w:sz w:val="24"/>
          <w:szCs w:val="24"/>
        </w:rPr>
        <w:t xml:space="preserve"> bouclier énergétique d’urgence</w:t>
      </w:r>
      <w:r w:rsidR="0006681B" w:rsidRPr="00057424">
        <w:rPr>
          <w:rFonts w:ascii="Arial" w:hAnsi="Arial" w:cs="Arial"/>
          <w:bCs/>
          <w:sz w:val="24"/>
          <w:szCs w:val="24"/>
        </w:rPr>
        <w:t xml:space="preserve"> plafonnant le prix d’achat de l’électricité pour toutes les collectivités locales, éventuellement assorti d’avances remboursables</w:t>
      </w:r>
      <w:r w:rsidRPr="00057424">
        <w:rPr>
          <w:rFonts w:ascii="Arial" w:hAnsi="Arial" w:cs="Arial"/>
          <w:bCs/>
          <w:sz w:val="24"/>
          <w:szCs w:val="24"/>
        </w:rPr>
        <w:t>.</w:t>
      </w:r>
    </w:p>
    <w:p w:rsidR="002C38D2" w:rsidRPr="00A73B47" w:rsidRDefault="002C38D2" w:rsidP="00754920">
      <w:pPr>
        <w:tabs>
          <w:tab w:val="left" w:pos="284"/>
        </w:tabs>
        <w:spacing w:line="240" w:lineRule="auto"/>
        <w:jc w:val="both"/>
        <w:rPr>
          <w:rFonts w:ascii="Arial" w:hAnsi="Arial" w:cs="Arial"/>
          <w:b/>
          <w:bCs/>
          <w:sz w:val="24"/>
          <w:szCs w:val="24"/>
        </w:rPr>
      </w:pPr>
    </w:p>
    <w:p w:rsidR="00266EA0" w:rsidRPr="00A73B47" w:rsidRDefault="002C38D2" w:rsidP="00057424">
      <w:pPr>
        <w:pStyle w:val="Paragraphedeliste"/>
        <w:numPr>
          <w:ilvl w:val="0"/>
          <w:numId w:val="6"/>
        </w:numPr>
        <w:tabs>
          <w:tab w:val="left" w:pos="284"/>
        </w:tabs>
        <w:spacing w:line="240" w:lineRule="auto"/>
        <w:jc w:val="both"/>
        <w:rPr>
          <w:rFonts w:ascii="Arial" w:hAnsi="Arial" w:cs="Arial"/>
          <w:bCs/>
          <w:sz w:val="24"/>
          <w:szCs w:val="24"/>
        </w:rPr>
      </w:pPr>
      <w:r w:rsidRPr="00A73B47">
        <w:rPr>
          <w:rFonts w:ascii="Arial" w:hAnsi="Arial" w:cs="Arial"/>
          <w:b/>
          <w:bCs/>
          <w:sz w:val="24"/>
          <w:szCs w:val="24"/>
        </w:rPr>
        <w:t>Permettre aux</w:t>
      </w:r>
      <w:r w:rsidR="0006681B" w:rsidRPr="00A73B47">
        <w:rPr>
          <w:rFonts w:ascii="Arial" w:hAnsi="Arial" w:cs="Arial"/>
          <w:b/>
          <w:bCs/>
          <w:sz w:val="24"/>
          <w:szCs w:val="24"/>
        </w:rPr>
        <w:t xml:space="preserve"> collectivités de so</w:t>
      </w:r>
      <w:r w:rsidR="00361913" w:rsidRPr="00A73B47">
        <w:rPr>
          <w:rFonts w:ascii="Arial" w:hAnsi="Arial" w:cs="Arial"/>
          <w:b/>
          <w:bCs/>
          <w:sz w:val="24"/>
          <w:szCs w:val="24"/>
        </w:rPr>
        <w:t>rtir sans pénalités financières</w:t>
      </w:r>
      <w:r w:rsidR="0006681B" w:rsidRPr="00A73B47">
        <w:rPr>
          <w:rFonts w:ascii="Arial" w:hAnsi="Arial" w:cs="Arial"/>
          <w:bCs/>
          <w:sz w:val="24"/>
          <w:szCs w:val="24"/>
        </w:rPr>
        <w:t xml:space="preserve"> </w:t>
      </w:r>
      <w:r w:rsidR="00361913" w:rsidRPr="00A73B47">
        <w:rPr>
          <w:rFonts w:ascii="Arial" w:hAnsi="Arial" w:cs="Arial"/>
          <w:bCs/>
          <w:sz w:val="24"/>
          <w:szCs w:val="24"/>
        </w:rPr>
        <w:t>des nouveaux contrats</w:t>
      </w:r>
      <w:r w:rsidR="00890C51" w:rsidRPr="00A73B47">
        <w:rPr>
          <w:rFonts w:ascii="Arial" w:hAnsi="Arial" w:cs="Arial"/>
          <w:bCs/>
          <w:sz w:val="24"/>
          <w:szCs w:val="24"/>
        </w:rPr>
        <w:t xml:space="preserve"> de fourniture d’énergie</w:t>
      </w:r>
      <w:r w:rsidR="00361913" w:rsidRPr="00A73B47">
        <w:rPr>
          <w:rFonts w:ascii="Arial" w:hAnsi="Arial" w:cs="Arial"/>
          <w:bCs/>
          <w:sz w:val="24"/>
          <w:szCs w:val="24"/>
        </w:rPr>
        <w:t>,</w:t>
      </w:r>
      <w:r w:rsidRPr="00A73B47">
        <w:rPr>
          <w:rFonts w:ascii="Arial" w:hAnsi="Arial" w:cs="Arial"/>
          <w:bCs/>
          <w:sz w:val="24"/>
          <w:szCs w:val="24"/>
        </w:rPr>
        <w:t xml:space="preserve"> lorsqu’</w:t>
      </w:r>
      <w:r w:rsidR="00361913" w:rsidRPr="00A73B47">
        <w:rPr>
          <w:rFonts w:ascii="Arial" w:hAnsi="Arial" w:cs="Arial"/>
          <w:bCs/>
          <w:sz w:val="24"/>
          <w:szCs w:val="24"/>
        </w:rPr>
        <w:t>elles ont dû</w:t>
      </w:r>
      <w:r w:rsidR="0006681B" w:rsidRPr="00A73B47">
        <w:rPr>
          <w:rFonts w:ascii="Arial" w:hAnsi="Arial" w:cs="Arial"/>
          <w:bCs/>
          <w:sz w:val="24"/>
          <w:szCs w:val="24"/>
        </w:rPr>
        <w:t xml:space="preserve"> signer à des conditions tar</w:t>
      </w:r>
      <w:r w:rsidR="00361913" w:rsidRPr="00A73B47">
        <w:rPr>
          <w:rFonts w:ascii="Arial" w:hAnsi="Arial" w:cs="Arial"/>
          <w:bCs/>
          <w:sz w:val="24"/>
          <w:szCs w:val="24"/>
        </w:rPr>
        <w:t>ifaires très défavorables.</w:t>
      </w:r>
    </w:p>
    <w:p w:rsidR="00057424" w:rsidRPr="00057424" w:rsidRDefault="00057424" w:rsidP="00057424">
      <w:pPr>
        <w:pStyle w:val="Paragraphedeliste"/>
        <w:rPr>
          <w:rFonts w:ascii="Arial" w:hAnsi="Arial" w:cs="Arial"/>
          <w:bCs/>
          <w:sz w:val="24"/>
          <w:szCs w:val="24"/>
        </w:rPr>
      </w:pPr>
    </w:p>
    <w:p w:rsidR="00057424" w:rsidRPr="00057424" w:rsidRDefault="00057424" w:rsidP="00057424">
      <w:pPr>
        <w:pStyle w:val="Paragraphedeliste"/>
        <w:tabs>
          <w:tab w:val="left" w:pos="284"/>
        </w:tabs>
        <w:spacing w:line="240" w:lineRule="auto"/>
        <w:jc w:val="both"/>
        <w:rPr>
          <w:rFonts w:ascii="Arial" w:hAnsi="Arial" w:cs="Arial"/>
          <w:bCs/>
          <w:sz w:val="24"/>
          <w:szCs w:val="24"/>
        </w:rPr>
      </w:pPr>
    </w:p>
    <w:p w:rsidR="002C38D2" w:rsidRPr="00057424" w:rsidRDefault="002C38D2" w:rsidP="00057424">
      <w:pPr>
        <w:pStyle w:val="Paragraphedeliste"/>
        <w:numPr>
          <w:ilvl w:val="0"/>
          <w:numId w:val="6"/>
        </w:numPr>
        <w:tabs>
          <w:tab w:val="left" w:pos="284"/>
        </w:tabs>
        <w:spacing w:line="240" w:lineRule="auto"/>
        <w:jc w:val="both"/>
        <w:rPr>
          <w:rFonts w:ascii="Arial" w:hAnsi="Arial" w:cs="Arial"/>
          <w:bCs/>
          <w:sz w:val="24"/>
          <w:szCs w:val="24"/>
        </w:rPr>
      </w:pPr>
      <w:r w:rsidRPr="00057424">
        <w:rPr>
          <w:rFonts w:ascii="Arial" w:hAnsi="Arial" w:cs="Arial"/>
          <w:b/>
          <w:bCs/>
          <w:sz w:val="24"/>
          <w:szCs w:val="24"/>
        </w:rPr>
        <w:t xml:space="preserve">Donner aux collectivités qui le souhaitent la possibilité de revenir aux tarifs réglementés de vente (TRV) </w:t>
      </w:r>
      <w:r w:rsidRPr="00057424">
        <w:rPr>
          <w:rFonts w:ascii="Arial" w:hAnsi="Arial" w:cs="Arial"/>
          <w:bCs/>
          <w:sz w:val="24"/>
          <w:szCs w:val="24"/>
        </w:rPr>
        <w:t>– c’est-à-dire aux tarifs régulés avant l’ouverture à la concurrence - quels que soient leur taille ou leur budget.</w:t>
      </w:r>
    </w:p>
    <w:p w:rsidR="002C38D2" w:rsidRDefault="002C38D2" w:rsidP="00754920">
      <w:pPr>
        <w:tabs>
          <w:tab w:val="left" w:pos="284"/>
        </w:tabs>
        <w:spacing w:line="240" w:lineRule="auto"/>
        <w:jc w:val="both"/>
        <w:rPr>
          <w:rFonts w:ascii="Arial" w:hAnsi="Arial" w:cs="Arial"/>
          <w:bCs/>
          <w:sz w:val="24"/>
          <w:szCs w:val="24"/>
        </w:rPr>
      </w:pPr>
    </w:p>
    <w:p w:rsidR="00A73B47" w:rsidRDefault="00A73B47" w:rsidP="00A73B47">
      <w:pPr>
        <w:pStyle w:val="Titre1"/>
        <w:jc w:val="center"/>
        <w:rPr>
          <w:b/>
        </w:rPr>
      </w:pPr>
    </w:p>
    <w:p w:rsidR="005B7B76" w:rsidRPr="00A73B47" w:rsidRDefault="0048584F" w:rsidP="00A73B47">
      <w:pPr>
        <w:pStyle w:val="Titre1"/>
        <w:jc w:val="center"/>
        <w:rPr>
          <w:b/>
        </w:rPr>
      </w:pPr>
      <w:r w:rsidRPr="00A73B47">
        <w:rPr>
          <w:b/>
        </w:rPr>
        <w:t>La présente délibération sera transmise au Préfet et aux parlementaires du département, ainsi qu’à…….</w:t>
      </w:r>
    </w:p>
    <w:sectPr w:rsidR="005B7B76" w:rsidRPr="00A73B47" w:rsidSect="00AC0F9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04" w:rsidRDefault="00D93704" w:rsidP="00C626B6">
      <w:pPr>
        <w:spacing w:after="0" w:line="240" w:lineRule="auto"/>
      </w:pPr>
      <w:r>
        <w:separator/>
      </w:r>
    </w:p>
  </w:endnote>
  <w:endnote w:type="continuationSeparator" w:id="0">
    <w:p w:rsidR="00D93704" w:rsidRDefault="00D93704" w:rsidP="00C6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71885"/>
      <w:docPartObj>
        <w:docPartGallery w:val="Page Numbers (Bottom of Page)"/>
        <w:docPartUnique/>
      </w:docPartObj>
    </w:sdtPr>
    <w:sdtEndPr/>
    <w:sdtContent>
      <w:p w:rsidR="00DE4A70" w:rsidRDefault="00DE4A70">
        <w:pPr>
          <w:pStyle w:val="Pieddepage"/>
          <w:jc w:val="center"/>
        </w:pPr>
        <w:r>
          <w:fldChar w:fldCharType="begin"/>
        </w:r>
        <w:r>
          <w:instrText>PAGE   \* MERGEFORMAT</w:instrText>
        </w:r>
        <w:r>
          <w:fldChar w:fldCharType="separate"/>
        </w:r>
        <w:r w:rsidR="002B5EA8">
          <w:rPr>
            <w:noProof/>
          </w:rPr>
          <w:t>4</w:t>
        </w:r>
        <w:r>
          <w:fldChar w:fldCharType="end"/>
        </w:r>
      </w:p>
    </w:sdtContent>
  </w:sdt>
  <w:p w:rsidR="00DE4A70" w:rsidRDefault="00DE4A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04" w:rsidRDefault="00D93704" w:rsidP="00C626B6">
      <w:pPr>
        <w:spacing w:after="0" w:line="240" w:lineRule="auto"/>
      </w:pPr>
      <w:r>
        <w:separator/>
      </w:r>
    </w:p>
  </w:footnote>
  <w:footnote w:type="continuationSeparator" w:id="0">
    <w:p w:rsidR="00D93704" w:rsidRDefault="00D93704" w:rsidP="00C62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60E8B"/>
    <w:multiLevelType w:val="hybridMultilevel"/>
    <w:tmpl w:val="6B60DC22"/>
    <w:lvl w:ilvl="0" w:tplc="D11E1538">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nsid w:val="1FBB05AB"/>
    <w:multiLevelType w:val="hybridMultilevel"/>
    <w:tmpl w:val="23A26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50452E"/>
    <w:multiLevelType w:val="hybridMultilevel"/>
    <w:tmpl w:val="49883BC6"/>
    <w:lvl w:ilvl="0" w:tplc="9984E386">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nsid w:val="35B364A9"/>
    <w:multiLevelType w:val="hybridMultilevel"/>
    <w:tmpl w:val="2E7A740E"/>
    <w:lvl w:ilvl="0" w:tplc="D11E1538">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4276D3"/>
    <w:multiLevelType w:val="hybridMultilevel"/>
    <w:tmpl w:val="D9148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D3"/>
    <w:rsid w:val="00043616"/>
    <w:rsid w:val="00045083"/>
    <w:rsid w:val="000525B2"/>
    <w:rsid w:val="0005699F"/>
    <w:rsid w:val="00057424"/>
    <w:rsid w:val="00062F02"/>
    <w:rsid w:val="0006681B"/>
    <w:rsid w:val="0009614F"/>
    <w:rsid w:val="000C4D9D"/>
    <w:rsid w:val="000E2596"/>
    <w:rsid w:val="00111632"/>
    <w:rsid w:val="00115BFA"/>
    <w:rsid w:val="00134A95"/>
    <w:rsid w:val="00157207"/>
    <w:rsid w:val="00163103"/>
    <w:rsid w:val="001C4295"/>
    <w:rsid w:val="001D5C00"/>
    <w:rsid w:val="00254D37"/>
    <w:rsid w:val="002575C6"/>
    <w:rsid w:val="00266EA0"/>
    <w:rsid w:val="0027417A"/>
    <w:rsid w:val="00285BB1"/>
    <w:rsid w:val="00290E06"/>
    <w:rsid w:val="002B5105"/>
    <w:rsid w:val="002B5EA8"/>
    <w:rsid w:val="002C1232"/>
    <w:rsid w:val="002C38D2"/>
    <w:rsid w:val="002D5CC0"/>
    <w:rsid w:val="002F1AE0"/>
    <w:rsid w:val="003104D7"/>
    <w:rsid w:val="00334E13"/>
    <w:rsid w:val="00352112"/>
    <w:rsid w:val="0035512C"/>
    <w:rsid w:val="00361913"/>
    <w:rsid w:val="00373A3A"/>
    <w:rsid w:val="00375720"/>
    <w:rsid w:val="00376EA8"/>
    <w:rsid w:val="0037756E"/>
    <w:rsid w:val="00381E3A"/>
    <w:rsid w:val="00386989"/>
    <w:rsid w:val="00387271"/>
    <w:rsid w:val="003908F6"/>
    <w:rsid w:val="003952C1"/>
    <w:rsid w:val="003B6D5F"/>
    <w:rsid w:val="003D48DA"/>
    <w:rsid w:val="003E0CA9"/>
    <w:rsid w:val="003E3C83"/>
    <w:rsid w:val="00402FE2"/>
    <w:rsid w:val="00425D3B"/>
    <w:rsid w:val="00481658"/>
    <w:rsid w:val="0048584F"/>
    <w:rsid w:val="004874C1"/>
    <w:rsid w:val="004B4E03"/>
    <w:rsid w:val="005035F6"/>
    <w:rsid w:val="00574EF9"/>
    <w:rsid w:val="00582A1C"/>
    <w:rsid w:val="00591709"/>
    <w:rsid w:val="005948B4"/>
    <w:rsid w:val="005B34E0"/>
    <w:rsid w:val="005B7B76"/>
    <w:rsid w:val="005E7F71"/>
    <w:rsid w:val="00611610"/>
    <w:rsid w:val="00645DAC"/>
    <w:rsid w:val="00661180"/>
    <w:rsid w:val="0069460D"/>
    <w:rsid w:val="006B06FF"/>
    <w:rsid w:val="006E1984"/>
    <w:rsid w:val="006E326A"/>
    <w:rsid w:val="007359EB"/>
    <w:rsid w:val="00746118"/>
    <w:rsid w:val="00754920"/>
    <w:rsid w:val="0077482A"/>
    <w:rsid w:val="007C12EF"/>
    <w:rsid w:val="007C2658"/>
    <w:rsid w:val="007D3D45"/>
    <w:rsid w:val="007D5DF7"/>
    <w:rsid w:val="008206C7"/>
    <w:rsid w:val="0082676A"/>
    <w:rsid w:val="008332F8"/>
    <w:rsid w:val="00872E94"/>
    <w:rsid w:val="00874D72"/>
    <w:rsid w:val="00890C51"/>
    <w:rsid w:val="008B3692"/>
    <w:rsid w:val="008B7EA4"/>
    <w:rsid w:val="008D297C"/>
    <w:rsid w:val="008E0E7B"/>
    <w:rsid w:val="008E7E4C"/>
    <w:rsid w:val="00933017"/>
    <w:rsid w:val="00944B41"/>
    <w:rsid w:val="00947D07"/>
    <w:rsid w:val="009F556B"/>
    <w:rsid w:val="00A07286"/>
    <w:rsid w:val="00A23F18"/>
    <w:rsid w:val="00A449C9"/>
    <w:rsid w:val="00A73B47"/>
    <w:rsid w:val="00A87E25"/>
    <w:rsid w:val="00AA7402"/>
    <w:rsid w:val="00AC0F9E"/>
    <w:rsid w:val="00AC3395"/>
    <w:rsid w:val="00AE6EC1"/>
    <w:rsid w:val="00B112B3"/>
    <w:rsid w:val="00B30298"/>
    <w:rsid w:val="00B531E2"/>
    <w:rsid w:val="00B80926"/>
    <w:rsid w:val="00BD1729"/>
    <w:rsid w:val="00C110E7"/>
    <w:rsid w:val="00C626B6"/>
    <w:rsid w:val="00C65711"/>
    <w:rsid w:val="00C80C2A"/>
    <w:rsid w:val="00C8232B"/>
    <w:rsid w:val="00C91620"/>
    <w:rsid w:val="00CC2D88"/>
    <w:rsid w:val="00CD792C"/>
    <w:rsid w:val="00CE0D16"/>
    <w:rsid w:val="00D01569"/>
    <w:rsid w:val="00D02DD7"/>
    <w:rsid w:val="00D3040F"/>
    <w:rsid w:val="00D365D3"/>
    <w:rsid w:val="00D42751"/>
    <w:rsid w:val="00D80E5B"/>
    <w:rsid w:val="00D93704"/>
    <w:rsid w:val="00DB27F6"/>
    <w:rsid w:val="00DD53D0"/>
    <w:rsid w:val="00DE4A70"/>
    <w:rsid w:val="00DF1EAE"/>
    <w:rsid w:val="00DF2034"/>
    <w:rsid w:val="00E047C1"/>
    <w:rsid w:val="00E12BD6"/>
    <w:rsid w:val="00E16DFA"/>
    <w:rsid w:val="00E41CA3"/>
    <w:rsid w:val="00E672EF"/>
    <w:rsid w:val="00E67D40"/>
    <w:rsid w:val="00E70AE2"/>
    <w:rsid w:val="00F070FB"/>
    <w:rsid w:val="00F61CBF"/>
    <w:rsid w:val="00F625C2"/>
    <w:rsid w:val="00F668AE"/>
    <w:rsid w:val="00F85A69"/>
    <w:rsid w:val="00F94B92"/>
    <w:rsid w:val="00FC4245"/>
    <w:rsid w:val="00FF6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93B59-143E-427D-979C-A318157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D3"/>
    <w:pPr>
      <w:spacing w:after="200" w:line="276" w:lineRule="auto"/>
    </w:pPr>
    <w:rPr>
      <w:rFonts w:eastAsia="Times New Roman" w:cs="Times New Roman"/>
    </w:rPr>
  </w:style>
  <w:style w:type="paragraph" w:styleId="Titre1">
    <w:name w:val="heading 1"/>
    <w:basedOn w:val="Normal"/>
    <w:next w:val="Normal"/>
    <w:link w:val="Titre1Car"/>
    <w:uiPriority w:val="9"/>
    <w:qFormat/>
    <w:rsid w:val="00A072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65D3"/>
    <w:pPr>
      <w:ind w:left="720"/>
      <w:contextualSpacing/>
    </w:pPr>
  </w:style>
  <w:style w:type="paragraph" w:styleId="Notedebasdepage">
    <w:name w:val="footnote text"/>
    <w:basedOn w:val="Normal"/>
    <w:link w:val="NotedebasdepageCar"/>
    <w:uiPriority w:val="99"/>
    <w:unhideWhenUsed/>
    <w:rsid w:val="00C626B6"/>
    <w:pPr>
      <w:spacing w:after="0" w:line="240" w:lineRule="auto"/>
    </w:pPr>
    <w:rPr>
      <w:rFonts w:eastAsiaTheme="minorHAnsi" w:cstheme="minorBidi"/>
      <w:sz w:val="20"/>
      <w:szCs w:val="20"/>
    </w:rPr>
  </w:style>
  <w:style w:type="character" w:customStyle="1" w:styleId="NotedebasdepageCar">
    <w:name w:val="Note de bas de page Car"/>
    <w:basedOn w:val="Policepardfaut"/>
    <w:link w:val="Notedebasdepage"/>
    <w:uiPriority w:val="99"/>
    <w:rsid w:val="00C626B6"/>
    <w:rPr>
      <w:sz w:val="20"/>
      <w:szCs w:val="20"/>
    </w:rPr>
  </w:style>
  <w:style w:type="character" w:styleId="Appelnotedebasdep">
    <w:name w:val="footnote reference"/>
    <w:basedOn w:val="Policepardfaut"/>
    <w:uiPriority w:val="99"/>
    <w:semiHidden/>
    <w:unhideWhenUsed/>
    <w:rsid w:val="00C626B6"/>
    <w:rPr>
      <w:vertAlign w:val="superscript"/>
    </w:rPr>
  </w:style>
  <w:style w:type="character" w:styleId="Lienhypertexte">
    <w:name w:val="Hyperlink"/>
    <w:basedOn w:val="Policepardfaut"/>
    <w:uiPriority w:val="99"/>
    <w:unhideWhenUsed/>
    <w:rsid w:val="00591709"/>
    <w:rPr>
      <w:color w:val="0563C1" w:themeColor="hyperlink"/>
      <w:u w:val="single"/>
    </w:rPr>
  </w:style>
  <w:style w:type="character" w:styleId="lev">
    <w:name w:val="Strong"/>
    <w:basedOn w:val="Policepardfaut"/>
    <w:uiPriority w:val="22"/>
    <w:qFormat/>
    <w:rsid w:val="00A449C9"/>
    <w:rPr>
      <w:b/>
      <w:bCs/>
    </w:rPr>
  </w:style>
  <w:style w:type="paragraph" w:styleId="En-tte">
    <w:name w:val="header"/>
    <w:basedOn w:val="Normal"/>
    <w:link w:val="En-tteCar"/>
    <w:uiPriority w:val="99"/>
    <w:unhideWhenUsed/>
    <w:rsid w:val="00373A3A"/>
    <w:pPr>
      <w:tabs>
        <w:tab w:val="center" w:pos="4536"/>
        <w:tab w:val="right" w:pos="9072"/>
      </w:tabs>
      <w:spacing w:after="0" w:line="240" w:lineRule="auto"/>
    </w:pPr>
  </w:style>
  <w:style w:type="character" w:customStyle="1" w:styleId="En-tteCar">
    <w:name w:val="En-tête Car"/>
    <w:basedOn w:val="Policepardfaut"/>
    <w:link w:val="En-tte"/>
    <w:uiPriority w:val="99"/>
    <w:rsid w:val="00373A3A"/>
    <w:rPr>
      <w:rFonts w:eastAsia="Times New Roman" w:cs="Times New Roman"/>
    </w:rPr>
  </w:style>
  <w:style w:type="paragraph" w:styleId="Pieddepage">
    <w:name w:val="footer"/>
    <w:basedOn w:val="Normal"/>
    <w:link w:val="PieddepageCar"/>
    <w:uiPriority w:val="99"/>
    <w:unhideWhenUsed/>
    <w:rsid w:val="00373A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A3A"/>
    <w:rPr>
      <w:rFonts w:eastAsia="Times New Roman" w:cs="Times New Roman"/>
    </w:rPr>
  </w:style>
  <w:style w:type="paragraph" w:styleId="Textedebulles">
    <w:name w:val="Balloon Text"/>
    <w:basedOn w:val="Normal"/>
    <w:link w:val="TextedebullesCar"/>
    <w:uiPriority w:val="99"/>
    <w:semiHidden/>
    <w:unhideWhenUsed/>
    <w:rsid w:val="000525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25B2"/>
    <w:rPr>
      <w:rFonts w:ascii="Segoe UI" w:eastAsia="Times New Roman" w:hAnsi="Segoe UI" w:cs="Segoe UI"/>
      <w:sz w:val="18"/>
      <w:szCs w:val="18"/>
    </w:rPr>
  </w:style>
  <w:style w:type="paragraph" w:customStyle="1" w:styleId="Default">
    <w:name w:val="Default"/>
    <w:rsid w:val="00E16DFA"/>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A07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728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A072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8">
      <w:bodyDiv w:val="1"/>
      <w:marLeft w:val="0"/>
      <w:marRight w:val="0"/>
      <w:marTop w:val="0"/>
      <w:marBottom w:val="0"/>
      <w:divBdr>
        <w:top w:val="none" w:sz="0" w:space="0" w:color="auto"/>
        <w:left w:val="none" w:sz="0" w:space="0" w:color="auto"/>
        <w:bottom w:val="none" w:sz="0" w:space="0" w:color="auto"/>
        <w:right w:val="none" w:sz="0" w:space="0" w:color="auto"/>
      </w:divBdr>
    </w:div>
    <w:div w:id="241793023">
      <w:bodyDiv w:val="1"/>
      <w:marLeft w:val="0"/>
      <w:marRight w:val="0"/>
      <w:marTop w:val="0"/>
      <w:marBottom w:val="0"/>
      <w:divBdr>
        <w:top w:val="none" w:sz="0" w:space="0" w:color="auto"/>
        <w:left w:val="none" w:sz="0" w:space="0" w:color="auto"/>
        <w:bottom w:val="none" w:sz="0" w:space="0" w:color="auto"/>
        <w:right w:val="none" w:sz="0" w:space="0" w:color="auto"/>
      </w:divBdr>
    </w:div>
    <w:div w:id="573854181">
      <w:bodyDiv w:val="1"/>
      <w:marLeft w:val="0"/>
      <w:marRight w:val="0"/>
      <w:marTop w:val="0"/>
      <w:marBottom w:val="0"/>
      <w:divBdr>
        <w:top w:val="none" w:sz="0" w:space="0" w:color="auto"/>
        <w:left w:val="none" w:sz="0" w:space="0" w:color="auto"/>
        <w:bottom w:val="none" w:sz="0" w:space="0" w:color="auto"/>
        <w:right w:val="none" w:sz="0" w:space="0" w:color="auto"/>
      </w:divBdr>
    </w:div>
    <w:div w:id="599948317">
      <w:bodyDiv w:val="1"/>
      <w:marLeft w:val="0"/>
      <w:marRight w:val="0"/>
      <w:marTop w:val="0"/>
      <w:marBottom w:val="0"/>
      <w:divBdr>
        <w:top w:val="none" w:sz="0" w:space="0" w:color="auto"/>
        <w:left w:val="none" w:sz="0" w:space="0" w:color="auto"/>
        <w:bottom w:val="none" w:sz="0" w:space="0" w:color="auto"/>
        <w:right w:val="none" w:sz="0" w:space="0" w:color="auto"/>
      </w:divBdr>
    </w:div>
    <w:div w:id="762334671">
      <w:bodyDiv w:val="1"/>
      <w:marLeft w:val="0"/>
      <w:marRight w:val="0"/>
      <w:marTop w:val="0"/>
      <w:marBottom w:val="0"/>
      <w:divBdr>
        <w:top w:val="none" w:sz="0" w:space="0" w:color="auto"/>
        <w:left w:val="none" w:sz="0" w:space="0" w:color="auto"/>
        <w:bottom w:val="none" w:sz="0" w:space="0" w:color="auto"/>
        <w:right w:val="none" w:sz="0" w:space="0" w:color="auto"/>
      </w:divBdr>
    </w:div>
    <w:div w:id="935986047">
      <w:bodyDiv w:val="1"/>
      <w:marLeft w:val="0"/>
      <w:marRight w:val="0"/>
      <w:marTop w:val="0"/>
      <w:marBottom w:val="0"/>
      <w:divBdr>
        <w:top w:val="none" w:sz="0" w:space="0" w:color="auto"/>
        <w:left w:val="none" w:sz="0" w:space="0" w:color="auto"/>
        <w:bottom w:val="none" w:sz="0" w:space="0" w:color="auto"/>
        <w:right w:val="none" w:sz="0" w:space="0" w:color="auto"/>
      </w:divBdr>
    </w:div>
    <w:div w:id="1133913212">
      <w:bodyDiv w:val="1"/>
      <w:marLeft w:val="0"/>
      <w:marRight w:val="0"/>
      <w:marTop w:val="0"/>
      <w:marBottom w:val="0"/>
      <w:divBdr>
        <w:top w:val="none" w:sz="0" w:space="0" w:color="auto"/>
        <w:left w:val="none" w:sz="0" w:space="0" w:color="auto"/>
        <w:bottom w:val="none" w:sz="0" w:space="0" w:color="auto"/>
        <w:right w:val="none" w:sz="0" w:space="0" w:color="auto"/>
      </w:divBdr>
    </w:div>
    <w:div w:id="1409229992">
      <w:bodyDiv w:val="1"/>
      <w:marLeft w:val="0"/>
      <w:marRight w:val="0"/>
      <w:marTop w:val="0"/>
      <w:marBottom w:val="0"/>
      <w:divBdr>
        <w:top w:val="none" w:sz="0" w:space="0" w:color="auto"/>
        <w:left w:val="none" w:sz="0" w:space="0" w:color="auto"/>
        <w:bottom w:val="none" w:sz="0" w:space="0" w:color="auto"/>
        <w:right w:val="none" w:sz="0" w:space="0" w:color="auto"/>
      </w:divBdr>
    </w:div>
    <w:div w:id="1498887463">
      <w:bodyDiv w:val="1"/>
      <w:marLeft w:val="0"/>
      <w:marRight w:val="0"/>
      <w:marTop w:val="0"/>
      <w:marBottom w:val="0"/>
      <w:divBdr>
        <w:top w:val="none" w:sz="0" w:space="0" w:color="auto"/>
        <w:left w:val="none" w:sz="0" w:space="0" w:color="auto"/>
        <w:bottom w:val="none" w:sz="0" w:space="0" w:color="auto"/>
        <w:right w:val="none" w:sz="0" w:space="0" w:color="auto"/>
      </w:divBdr>
    </w:div>
    <w:div w:id="1755009111">
      <w:bodyDiv w:val="1"/>
      <w:marLeft w:val="0"/>
      <w:marRight w:val="0"/>
      <w:marTop w:val="0"/>
      <w:marBottom w:val="0"/>
      <w:divBdr>
        <w:top w:val="none" w:sz="0" w:space="0" w:color="auto"/>
        <w:left w:val="none" w:sz="0" w:space="0" w:color="auto"/>
        <w:bottom w:val="none" w:sz="0" w:space="0" w:color="auto"/>
        <w:right w:val="none" w:sz="0" w:space="0" w:color="auto"/>
      </w:divBdr>
    </w:div>
    <w:div w:id="1756049729">
      <w:bodyDiv w:val="1"/>
      <w:marLeft w:val="0"/>
      <w:marRight w:val="0"/>
      <w:marTop w:val="0"/>
      <w:marBottom w:val="0"/>
      <w:divBdr>
        <w:top w:val="none" w:sz="0" w:space="0" w:color="auto"/>
        <w:left w:val="none" w:sz="0" w:space="0" w:color="auto"/>
        <w:bottom w:val="none" w:sz="0" w:space="0" w:color="auto"/>
        <w:right w:val="none" w:sz="0" w:space="0" w:color="auto"/>
      </w:divBdr>
    </w:div>
    <w:div w:id="1766418495">
      <w:bodyDiv w:val="1"/>
      <w:marLeft w:val="0"/>
      <w:marRight w:val="0"/>
      <w:marTop w:val="0"/>
      <w:marBottom w:val="0"/>
      <w:divBdr>
        <w:top w:val="none" w:sz="0" w:space="0" w:color="auto"/>
        <w:left w:val="none" w:sz="0" w:space="0" w:color="auto"/>
        <w:bottom w:val="none" w:sz="0" w:space="0" w:color="auto"/>
        <w:right w:val="none" w:sz="0" w:space="0" w:color="auto"/>
      </w:divBdr>
    </w:div>
    <w:div w:id="1786970984">
      <w:bodyDiv w:val="1"/>
      <w:marLeft w:val="0"/>
      <w:marRight w:val="0"/>
      <w:marTop w:val="0"/>
      <w:marBottom w:val="0"/>
      <w:divBdr>
        <w:top w:val="none" w:sz="0" w:space="0" w:color="auto"/>
        <w:left w:val="none" w:sz="0" w:space="0" w:color="auto"/>
        <w:bottom w:val="none" w:sz="0" w:space="0" w:color="auto"/>
        <w:right w:val="none" w:sz="0" w:space="0" w:color="auto"/>
      </w:divBdr>
    </w:div>
    <w:div w:id="1878350471">
      <w:bodyDiv w:val="1"/>
      <w:marLeft w:val="0"/>
      <w:marRight w:val="0"/>
      <w:marTop w:val="0"/>
      <w:marBottom w:val="0"/>
      <w:divBdr>
        <w:top w:val="none" w:sz="0" w:space="0" w:color="auto"/>
        <w:left w:val="none" w:sz="0" w:space="0" w:color="auto"/>
        <w:bottom w:val="none" w:sz="0" w:space="0" w:color="auto"/>
        <w:right w:val="none" w:sz="0" w:space="0" w:color="auto"/>
      </w:divBdr>
    </w:div>
    <w:div w:id="1912424272">
      <w:bodyDiv w:val="1"/>
      <w:marLeft w:val="0"/>
      <w:marRight w:val="0"/>
      <w:marTop w:val="0"/>
      <w:marBottom w:val="0"/>
      <w:divBdr>
        <w:top w:val="none" w:sz="0" w:space="0" w:color="auto"/>
        <w:left w:val="none" w:sz="0" w:space="0" w:color="auto"/>
        <w:bottom w:val="none" w:sz="0" w:space="0" w:color="auto"/>
        <w:right w:val="none" w:sz="0" w:space="0" w:color="auto"/>
      </w:divBdr>
    </w:div>
    <w:div w:id="1995327819">
      <w:bodyDiv w:val="1"/>
      <w:marLeft w:val="0"/>
      <w:marRight w:val="0"/>
      <w:marTop w:val="0"/>
      <w:marBottom w:val="0"/>
      <w:divBdr>
        <w:top w:val="none" w:sz="0" w:space="0" w:color="auto"/>
        <w:left w:val="none" w:sz="0" w:space="0" w:color="auto"/>
        <w:bottom w:val="none" w:sz="0" w:space="0" w:color="auto"/>
        <w:right w:val="none" w:sz="0" w:space="0" w:color="auto"/>
      </w:divBdr>
    </w:div>
    <w:div w:id="19971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2D5A-D966-45D8-A97A-9D9ECDB0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BRODIN Nathalie</dc:creator>
  <cp:keywords/>
  <dc:description/>
  <cp:lastModifiedBy>Millard</cp:lastModifiedBy>
  <cp:revision>2</cp:revision>
  <cp:lastPrinted>2022-10-21T17:47:00Z</cp:lastPrinted>
  <dcterms:created xsi:type="dcterms:W3CDTF">2022-11-07T10:43:00Z</dcterms:created>
  <dcterms:modified xsi:type="dcterms:W3CDTF">2022-11-07T10:43:00Z</dcterms:modified>
</cp:coreProperties>
</file>